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79" w:rsidRPr="00D03B79" w:rsidRDefault="00D03B79" w:rsidP="00D03B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3B79">
        <w:rPr>
          <w:rFonts w:ascii="Arial" w:hAnsi="Arial" w:cs="Arial"/>
          <w:b/>
          <w:sz w:val="24"/>
          <w:szCs w:val="24"/>
        </w:rPr>
        <w:t xml:space="preserve">Prečo sa hráme na malých a veľkých farmárov? </w:t>
      </w:r>
    </w:p>
    <w:p w:rsidR="00D03B79" w:rsidRPr="00D03B79" w:rsidRDefault="00D03B79" w:rsidP="00D03B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3B79" w:rsidRDefault="00D03B79" w:rsidP="00D03B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D03B79">
        <w:rPr>
          <w:rFonts w:ascii="Arial" w:hAnsi="Arial" w:cs="Arial"/>
          <w:sz w:val="24"/>
          <w:szCs w:val="24"/>
        </w:rPr>
        <w:t>oľnohospodári na Slovensku sa</w:t>
      </w:r>
      <w:r w:rsidR="009F3BA4">
        <w:rPr>
          <w:rFonts w:ascii="Arial" w:hAnsi="Arial" w:cs="Arial"/>
          <w:sz w:val="24"/>
          <w:szCs w:val="24"/>
        </w:rPr>
        <w:t>, ktovieprečo,</w:t>
      </w:r>
      <w:r w:rsidRPr="00D03B79">
        <w:rPr>
          <w:rFonts w:ascii="Arial" w:hAnsi="Arial" w:cs="Arial"/>
          <w:sz w:val="24"/>
          <w:szCs w:val="24"/>
        </w:rPr>
        <w:t xml:space="preserve"> delia na </w:t>
      </w:r>
      <w:r w:rsidR="009F3BA4">
        <w:rPr>
          <w:rFonts w:ascii="Arial" w:hAnsi="Arial" w:cs="Arial"/>
          <w:sz w:val="24"/>
          <w:szCs w:val="24"/>
        </w:rPr>
        <w:t>„</w:t>
      </w:r>
      <w:r w:rsidRPr="00D03B79">
        <w:rPr>
          <w:rFonts w:ascii="Arial" w:hAnsi="Arial" w:cs="Arial"/>
          <w:sz w:val="24"/>
          <w:szCs w:val="24"/>
        </w:rPr>
        <w:t>malých</w:t>
      </w:r>
      <w:r w:rsidR="009F3BA4">
        <w:rPr>
          <w:rFonts w:ascii="Arial" w:hAnsi="Arial" w:cs="Arial"/>
          <w:sz w:val="24"/>
          <w:szCs w:val="24"/>
        </w:rPr>
        <w:t>“</w:t>
      </w:r>
      <w:r w:rsidRPr="00D03B79">
        <w:rPr>
          <w:rFonts w:ascii="Arial" w:hAnsi="Arial" w:cs="Arial"/>
          <w:sz w:val="24"/>
          <w:szCs w:val="24"/>
        </w:rPr>
        <w:t xml:space="preserve"> a </w:t>
      </w:r>
      <w:r w:rsidR="009F3BA4">
        <w:rPr>
          <w:rFonts w:ascii="Arial" w:hAnsi="Arial" w:cs="Arial"/>
          <w:sz w:val="24"/>
          <w:szCs w:val="24"/>
        </w:rPr>
        <w:t>„</w:t>
      </w:r>
      <w:r w:rsidRPr="00D03B79">
        <w:rPr>
          <w:rFonts w:ascii="Arial" w:hAnsi="Arial" w:cs="Arial"/>
          <w:sz w:val="24"/>
          <w:szCs w:val="24"/>
        </w:rPr>
        <w:t>veľkých</w:t>
      </w:r>
      <w:r w:rsidR="009F3BA4">
        <w:rPr>
          <w:rFonts w:ascii="Arial" w:hAnsi="Arial" w:cs="Arial"/>
          <w:sz w:val="24"/>
          <w:szCs w:val="24"/>
        </w:rPr>
        <w:t>“</w:t>
      </w:r>
      <w:r w:rsidRPr="00D03B79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 tieto dve skupiny </w:t>
      </w:r>
      <w:r w:rsidR="00243FF4">
        <w:rPr>
          <w:rFonts w:ascii="Arial" w:hAnsi="Arial" w:cs="Arial"/>
          <w:sz w:val="24"/>
          <w:szCs w:val="24"/>
        </w:rPr>
        <w:t xml:space="preserve">vedú </w:t>
      </w:r>
      <w:r>
        <w:rPr>
          <w:rFonts w:ascii="Arial" w:hAnsi="Arial" w:cs="Arial"/>
          <w:sz w:val="24"/>
          <w:szCs w:val="24"/>
        </w:rPr>
        <w:t>proti sebe</w:t>
      </w:r>
      <w:r w:rsidR="00243FF4">
        <w:rPr>
          <w:rFonts w:ascii="Arial" w:hAnsi="Arial" w:cs="Arial"/>
          <w:sz w:val="24"/>
          <w:szCs w:val="24"/>
        </w:rPr>
        <w:t xml:space="preserve"> akúsi „zákopovú vojnu“</w:t>
      </w:r>
      <w:r>
        <w:rPr>
          <w:rFonts w:ascii="Arial" w:hAnsi="Arial" w:cs="Arial"/>
          <w:sz w:val="24"/>
          <w:szCs w:val="24"/>
        </w:rPr>
        <w:t xml:space="preserve">. „Malí“ sa sťažujú na „veľkých“, vraj im znemožňujú podnikať na ich pôde a komplikujú </w:t>
      </w:r>
      <w:r w:rsidR="00243FF4">
        <w:rPr>
          <w:rFonts w:ascii="Arial" w:hAnsi="Arial" w:cs="Arial"/>
          <w:sz w:val="24"/>
          <w:szCs w:val="24"/>
        </w:rPr>
        <w:t xml:space="preserve">aj </w:t>
      </w:r>
      <w:r>
        <w:rPr>
          <w:rFonts w:ascii="Arial" w:hAnsi="Arial" w:cs="Arial"/>
          <w:sz w:val="24"/>
          <w:szCs w:val="24"/>
        </w:rPr>
        <w:t>prístup k dotáciám. „Veľkí“</w:t>
      </w:r>
      <w:r w:rsidR="009F3BA4">
        <w:rPr>
          <w:rFonts w:ascii="Arial" w:hAnsi="Arial" w:cs="Arial"/>
          <w:sz w:val="24"/>
          <w:szCs w:val="24"/>
        </w:rPr>
        <w:t xml:space="preserve"> zasa nemajú pekné slovo</w:t>
      </w:r>
      <w:r>
        <w:rPr>
          <w:rFonts w:ascii="Arial" w:hAnsi="Arial" w:cs="Arial"/>
          <w:sz w:val="24"/>
          <w:szCs w:val="24"/>
        </w:rPr>
        <w:t xml:space="preserve"> na „malých“, ktorých </w:t>
      </w:r>
      <w:r w:rsidR="00243FF4">
        <w:rPr>
          <w:rFonts w:ascii="Arial" w:hAnsi="Arial" w:cs="Arial"/>
          <w:sz w:val="24"/>
          <w:szCs w:val="24"/>
        </w:rPr>
        <w:t xml:space="preserve">ani </w:t>
      </w:r>
      <w:r>
        <w:rPr>
          <w:rFonts w:ascii="Arial" w:hAnsi="Arial" w:cs="Arial"/>
          <w:sz w:val="24"/>
          <w:szCs w:val="24"/>
        </w:rPr>
        <w:t>nepovažujú za kolegov hospodárov, ale len za v</w:t>
      </w:r>
      <w:r w:rsidR="00243FF4">
        <w:rPr>
          <w:rFonts w:ascii="Arial" w:hAnsi="Arial" w:cs="Arial"/>
          <w:sz w:val="24"/>
          <w:szCs w:val="24"/>
        </w:rPr>
        <w:t xml:space="preserve">yužívateľov </w:t>
      </w:r>
      <w:r>
        <w:rPr>
          <w:rFonts w:ascii="Arial" w:hAnsi="Arial" w:cs="Arial"/>
          <w:sz w:val="24"/>
          <w:szCs w:val="24"/>
        </w:rPr>
        <w:t>systému</w:t>
      </w:r>
      <w:r w:rsidR="00243FF4">
        <w:rPr>
          <w:rFonts w:ascii="Arial" w:hAnsi="Arial" w:cs="Arial"/>
          <w:sz w:val="24"/>
          <w:szCs w:val="24"/>
        </w:rPr>
        <w:t xml:space="preserve"> podpôr</w:t>
      </w:r>
      <w:r>
        <w:rPr>
          <w:rFonts w:ascii="Arial" w:hAnsi="Arial" w:cs="Arial"/>
          <w:sz w:val="24"/>
          <w:szCs w:val="24"/>
        </w:rPr>
        <w:t>, bez efektívnej produkcie, či</w:t>
      </w:r>
      <w:r w:rsidR="00243FF4">
        <w:rPr>
          <w:rFonts w:ascii="Arial" w:hAnsi="Arial" w:cs="Arial"/>
          <w:sz w:val="24"/>
          <w:szCs w:val="24"/>
        </w:rPr>
        <w:t xml:space="preserve"> očakávan</w:t>
      </w:r>
      <w:r>
        <w:rPr>
          <w:rFonts w:ascii="Arial" w:hAnsi="Arial" w:cs="Arial"/>
          <w:sz w:val="24"/>
          <w:szCs w:val="24"/>
        </w:rPr>
        <w:t xml:space="preserve">ej diverzifikácie. </w:t>
      </w:r>
      <w:r w:rsidR="009F3BA4">
        <w:rPr>
          <w:rFonts w:ascii="Arial" w:hAnsi="Arial" w:cs="Arial"/>
          <w:sz w:val="24"/>
          <w:szCs w:val="24"/>
        </w:rPr>
        <w:t>Skúsenosť však vraví, že nič nie je čiernobiele, a preto sa pokúsme nájsť vysvetlenie a</w:t>
      </w:r>
      <w:r w:rsidR="00243FF4">
        <w:rPr>
          <w:rFonts w:ascii="Arial" w:hAnsi="Arial" w:cs="Arial"/>
          <w:sz w:val="24"/>
          <w:szCs w:val="24"/>
        </w:rPr>
        <w:t xml:space="preserve"> napokon navrhnúť </w:t>
      </w:r>
      <w:r w:rsidR="009F3BA4">
        <w:rPr>
          <w:rFonts w:ascii="Arial" w:hAnsi="Arial" w:cs="Arial"/>
          <w:sz w:val="24"/>
          <w:szCs w:val="24"/>
        </w:rPr>
        <w:t>riešenie.</w:t>
      </w:r>
    </w:p>
    <w:p w:rsidR="009F3BA4" w:rsidRDefault="009F3BA4" w:rsidP="00D03B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4A71" w:rsidRDefault="004A3757" w:rsidP="00D03B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</w:t>
      </w:r>
      <w:r w:rsidR="009E6001">
        <w:rPr>
          <w:rFonts w:ascii="Arial" w:hAnsi="Arial" w:cs="Arial"/>
          <w:sz w:val="24"/>
          <w:szCs w:val="24"/>
        </w:rPr>
        <w:t>vedajme si najskôr na otázku, akých</w:t>
      </w:r>
      <w:r>
        <w:rPr>
          <w:rFonts w:ascii="Arial" w:hAnsi="Arial" w:cs="Arial"/>
          <w:sz w:val="24"/>
          <w:szCs w:val="24"/>
        </w:rPr>
        <w:t xml:space="preserve"> </w:t>
      </w:r>
      <w:r w:rsidR="009E6001">
        <w:rPr>
          <w:rFonts w:ascii="Arial" w:hAnsi="Arial" w:cs="Arial"/>
          <w:sz w:val="24"/>
          <w:szCs w:val="24"/>
        </w:rPr>
        <w:t xml:space="preserve">vôbec máme na Slovensku </w:t>
      </w:r>
      <w:r>
        <w:rPr>
          <w:rFonts w:ascii="Arial" w:hAnsi="Arial" w:cs="Arial"/>
          <w:sz w:val="24"/>
          <w:szCs w:val="24"/>
        </w:rPr>
        <w:t>p</w:t>
      </w:r>
      <w:r w:rsidR="00243FF4">
        <w:rPr>
          <w:rFonts w:ascii="Arial" w:hAnsi="Arial" w:cs="Arial"/>
          <w:sz w:val="24"/>
          <w:szCs w:val="24"/>
        </w:rPr>
        <w:t xml:space="preserve">oľnohospodárov? </w:t>
      </w:r>
      <w:r w:rsidR="008E4A71">
        <w:rPr>
          <w:rFonts w:ascii="Arial" w:hAnsi="Arial" w:cs="Arial"/>
          <w:sz w:val="24"/>
          <w:szCs w:val="24"/>
        </w:rPr>
        <w:t xml:space="preserve">Početnosť všetkých skupín poľnohospodárov najlepšie dokladuje </w:t>
      </w:r>
      <w:r w:rsidR="008E4A71" w:rsidRPr="002A4C18">
        <w:rPr>
          <w:rFonts w:ascii="Arial" w:hAnsi="Arial" w:cs="Arial"/>
          <w:b/>
          <w:sz w:val="24"/>
          <w:szCs w:val="24"/>
        </w:rPr>
        <w:t>oficiálna štatistika p</w:t>
      </w:r>
      <w:r w:rsidR="009F3BA4" w:rsidRPr="002A4C18">
        <w:rPr>
          <w:rFonts w:ascii="Arial" w:hAnsi="Arial" w:cs="Arial"/>
          <w:b/>
          <w:sz w:val="24"/>
          <w:szCs w:val="24"/>
        </w:rPr>
        <w:t>o</w:t>
      </w:r>
      <w:r w:rsidR="00243FF4" w:rsidRPr="002A4C18">
        <w:rPr>
          <w:rFonts w:ascii="Arial" w:hAnsi="Arial" w:cs="Arial"/>
          <w:b/>
          <w:sz w:val="24"/>
          <w:szCs w:val="24"/>
        </w:rPr>
        <w:t xml:space="preserve">dľa ekonomickej </w:t>
      </w:r>
      <w:r w:rsidR="008E4A71" w:rsidRPr="002A4C18">
        <w:rPr>
          <w:rFonts w:ascii="Arial" w:hAnsi="Arial" w:cs="Arial"/>
          <w:b/>
          <w:sz w:val="24"/>
          <w:szCs w:val="24"/>
        </w:rPr>
        <w:t>veľkosti</w:t>
      </w:r>
      <w:r w:rsidR="008E4A71">
        <w:rPr>
          <w:rFonts w:ascii="Arial" w:hAnsi="Arial" w:cs="Arial"/>
          <w:sz w:val="24"/>
          <w:szCs w:val="24"/>
        </w:rPr>
        <w:t>. Štatistický úrad SR vykonal</w:t>
      </w:r>
      <w:r w:rsidR="002A4C18">
        <w:rPr>
          <w:rFonts w:ascii="Arial" w:hAnsi="Arial" w:cs="Arial"/>
          <w:sz w:val="24"/>
          <w:szCs w:val="24"/>
        </w:rPr>
        <w:t xml:space="preserve"> </w:t>
      </w:r>
      <w:r w:rsidR="008E4A71">
        <w:rPr>
          <w:rFonts w:ascii="Arial" w:hAnsi="Arial" w:cs="Arial"/>
          <w:sz w:val="24"/>
          <w:szCs w:val="24"/>
        </w:rPr>
        <w:t>v roku 2016 cenzus, a tak mohol v roku 2018 poskytnúť údaje pre jednotlivé skupiny klasifikácie subjektov</w:t>
      </w:r>
      <w:r w:rsidR="00BF01D9">
        <w:rPr>
          <w:rFonts w:ascii="Arial" w:hAnsi="Arial" w:cs="Arial"/>
          <w:sz w:val="24"/>
          <w:szCs w:val="24"/>
        </w:rPr>
        <w:t xml:space="preserve">, </w:t>
      </w:r>
      <w:r w:rsidR="002A4C18">
        <w:rPr>
          <w:rFonts w:ascii="Arial" w:hAnsi="Arial" w:cs="Arial"/>
          <w:sz w:val="24"/>
          <w:szCs w:val="24"/>
        </w:rPr>
        <w:t>v zmysle európskej metodiky</w:t>
      </w:r>
      <w:r w:rsidR="008E4A71">
        <w:rPr>
          <w:rFonts w:ascii="Arial" w:hAnsi="Arial" w:cs="Arial"/>
          <w:sz w:val="24"/>
          <w:szCs w:val="24"/>
        </w:rPr>
        <w:t>. Klasifikácia vychádza z typu hospodárenia a ekonomickej veľkosti, podľa štandardnej produkcie (plocha plodín a počet hospodárskych zvierat), za ostatných 5 rokov.</w:t>
      </w:r>
    </w:p>
    <w:p w:rsidR="00BF01D9" w:rsidRDefault="00BF01D9" w:rsidP="00D03B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777F" w:rsidRDefault="00C6777F" w:rsidP="00D03B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Podľa nej je celkový počet fariem na Slovensku 25 658. V tomto čísle sú zahrnuté všetky právnické osoby, fyzické osoby registrované aj fyzické osoby neregistrované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domácnosti). Ak si to chcete rozložiť na drobné, pozrite si komplexný dokument</w:t>
      </w:r>
      <w:r w:rsidR="00DA0CDA">
        <w:rPr>
          <w:rFonts w:ascii="Arial" w:hAnsi="Arial" w:cs="Arial"/>
          <w:sz w:val="24"/>
          <w:szCs w:val="24"/>
        </w:rPr>
        <w:t xml:space="preserve"> ŠÚ SR: </w:t>
      </w:r>
      <w:r w:rsidR="00DA0CDA" w:rsidRPr="00DA0CDA">
        <w:rPr>
          <w:rFonts w:ascii="Arial" w:hAnsi="Arial" w:cs="Arial"/>
          <w:sz w:val="24"/>
          <w:szCs w:val="24"/>
          <w:highlight w:val="yellow"/>
        </w:rPr>
        <w:t>/súbor/</w:t>
      </w:r>
    </w:p>
    <w:p w:rsidR="00C6777F" w:rsidRDefault="00C6777F" w:rsidP="00D03B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6659880" cy="2994025"/>
            <wp:effectExtent l="0" t="0" r="762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čet fariem po krajoc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299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:rsidR="008E4A71" w:rsidRDefault="008E4A71" w:rsidP="00D03B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509A4" w:rsidRDefault="00F32D97" w:rsidP="00D03B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vidno z</w:t>
      </w:r>
      <w:r w:rsidR="00C6777F">
        <w:rPr>
          <w:rFonts w:ascii="Arial" w:hAnsi="Arial" w:cs="Arial"/>
          <w:sz w:val="24"/>
          <w:szCs w:val="24"/>
        </w:rPr>
        <w:t xml:space="preserve"> údajov, najviac poľnohospodárov,</w:t>
      </w:r>
      <w:r>
        <w:rPr>
          <w:rFonts w:ascii="Arial" w:hAnsi="Arial" w:cs="Arial"/>
          <w:sz w:val="24"/>
          <w:szCs w:val="24"/>
        </w:rPr>
        <w:t xml:space="preserve"> spolu 22 708, je zaradených v</w:t>
      </w:r>
      <w:r w:rsidR="00C6777F">
        <w:rPr>
          <w:rFonts w:ascii="Arial" w:hAnsi="Arial" w:cs="Arial"/>
          <w:sz w:val="24"/>
          <w:szCs w:val="24"/>
        </w:rPr>
        <w:t xml:space="preserve"> triedach 1 až 6, ktorých ekonomická veľkosť je najviac 50 000 €. Potom sa počty znižujú. V skupinách 7 až 13, s ekonomickou veľkosťou od 50 000 do 3 mil. eur, je celkom 2 865 subjektov. Až napokon podnikov, ktorých veľkosť vyjadrená v eurách presahuje 3 milióny, je na celom Slovensku</w:t>
      </w:r>
      <w:r w:rsidR="006E6323">
        <w:rPr>
          <w:rFonts w:ascii="Arial" w:hAnsi="Arial" w:cs="Arial"/>
          <w:sz w:val="24"/>
          <w:szCs w:val="24"/>
        </w:rPr>
        <w:t xml:space="preserve"> len</w:t>
      </w:r>
      <w:r w:rsidR="00C6777F">
        <w:rPr>
          <w:rFonts w:ascii="Arial" w:hAnsi="Arial" w:cs="Arial"/>
          <w:sz w:val="24"/>
          <w:szCs w:val="24"/>
        </w:rPr>
        <w:t xml:space="preserve"> 85.</w:t>
      </w:r>
    </w:p>
    <w:p w:rsidR="00A509A4" w:rsidRDefault="00A509A4" w:rsidP="00D03B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 sa z týchto údajov povedať, koľko je teda malých, veľkých, či stredných</w:t>
      </w:r>
      <w:r w:rsidR="006E6323">
        <w:rPr>
          <w:rFonts w:ascii="Arial" w:hAnsi="Arial" w:cs="Arial"/>
          <w:sz w:val="24"/>
          <w:szCs w:val="24"/>
        </w:rPr>
        <w:t xml:space="preserve"> farmárov</w:t>
      </w:r>
      <w:r>
        <w:rPr>
          <w:rFonts w:ascii="Arial" w:hAnsi="Arial" w:cs="Arial"/>
          <w:sz w:val="24"/>
          <w:szCs w:val="24"/>
        </w:rPr>
        <w:t>?</w:t>
      </w:r>
    </w:p>
    <w:p w:rsidR="00FF3D9A" w:rsidRDefault="00FF3D9A" w:rsidP="00D03B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3D9A" w:rsidRDefault="00FF3D9A" w:rsidP="00D03B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Zaujímavo vyznieva aj táto </w:t>
      </w:r>
      <w:r w:rsidRPr="00561039">
        <w:rPr>
          <w:rFonts w:ascii="Arial" w:hAnsi="Arial" w:cs="Arial"/>
          <w:sz w:val="24"/>
          <w:szCs w:val="24"/>
        </w:rPr>
        <w:t>sumárna štatistika</w:t>
      </w:r>
      <w:r>
        <w:rPr>
          <w:rFonts w:ascii="Arial" w:hAnsi="Arial" w:cs="Arial"/>
          <w:sz w:val="24"/>
          <w:szCs w:val="24"/>
        </w:rPr>
        <w:t xml:space="preserve">, kde sú opäť všetky formy podnikania na pôde. Podľa SO - „Standard Output“, teda </w:t>
      </w:r>
      <w:r w:rsidRPr="00561039">
        <w:rPr>
          <w:rFonts w:ascii="Arial" w:hAnsi="Arial" w:cs="Arial"/>
          <w:b/>
          <w:sz w:val="24"/>
          <w:szCs w:val="24"/>
        </w:rPr>
        <w:t>štandardnej produkcie vyjadrenej v tisícoch eur, štvrtinu tvorí práve tých 85 najväčších podnikov</w:t>
      </w:r>
      <w:r>
        <w:rPr>
          <w:rFonts w:ascii="Arial" w:hAnsi="Arial" w:cs="Arial"/>
          <w:sz w:val="24"/>
          <w:szCs w:val="24"/>
        </w:rPr>
        <w:t>. Tie takisto vlastnia až 37,5% všetkých dobytčích jednotiek na Slovensku (233 144 v absolútnych číslach)</w:t>
      </w:r>
      <w:r w:rsidR="009E6001">
        <w:rPr>
          <w:rFonts w:ascii="Arial" w:hAnsi="Arial" w:cs="Arial"/>
          <w:sz w:val="24"/>
          <w:szCs w:val="24"/>
        </w:rPr>
        <w:t xml:space="preserve"> a obrábajú 11,2% poľnohospodárskej pôdy</w:t>
      </w:r>
      <w:r>
        <w:rPr>
          <w:rFonts w:ascii="Arial" w:hAnsi="Arial" w:cs="Arial"/>
          <w:sz w:val="24"/>
          <w:szCs w:val="24"/>
        </w:rPr>
        <w:t xml:space="preserve">. Ďalších 22,8% produkcie a dokonca až takmer 22% poľnohospodárskej pôdy využívajú podniky s ekonomickou veľkosťou od 1,5 do 3 mil. eur. Dokopy s ďalšou </w:t>
      </w:r>
      <w:r w:rsidR="00561039">
        <w:rPr>
          <w:rFonts w:ascii="Arial" w:hAnsi="Arial" w:cs="Arial"/>
          <w:sz w:val="24"/>
          <w:szCs w:val="24"/>
        </w:rPr>
        <w:t>ekonomickou triedou,</w:t>
      </w:r>
      <w:r>
        <w:rPr>
          <w:rFonts w:ascii="Arial" w:hAnsi="Arial" w:cs="Arial"/>
          <w:sz w:val="24"/>
          <w:szCs w:val="24"/>
        </w:rPr>
        <w:t xml:space="preserve"> tak tieto tri skupiny </w:t>
      </w:r>
      <w:r w:rsidR="00561039">
        <w:rPr>
          <w:rFonts w:ascii="Arial" w:hAnsi="Arial" w:cs="Arial"/>
          <w:sz w:val="24"/>
          <w:szCs w:val="24"/>
        </w:rPr>
        <w:t xml:space="preserve">(č.12-14) </w:t>
      </w:r>
      <w:r>
        <w:rPr>
          <w:rFonts w:ascii="Arial" w:hAnsi="Arial" w:cs="Arial"/>
          <w:sz w:val="24"/>
          <w:szCs w:val="24"/>
        </w:rPr>
        <w:t>tvoria spolu 59,8% SO (absolútne 1</w:t>
      </w:r>
      <w:r w:rsidR="0056103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155</w:t>
      </w:r>
      <w:r w:rsidR="00561039">
        <w:rPr>
          <w:rFonts w:ascii="Arial" w:hAnsi="Arial" w:cs="Arial"/>
          <w:sz w:val="24"/>
          <w:szCs w:val="24"/>
        </w:rPr>
        <w:t> 127 tis. eur), obhospodarujú celkom 45,5% (858 405 ha) poľnohospodárskej pôdy a chovajú 65% (404 113) dobytčích jednotiek. Táto „vrstva“ najväčších poľnohospodárskych podnikov teda predstavuje gro produkcie na Slovensku. Viď tabuľka:</w:t>
      </w:r>
    </w:p>
    <w:p w:rsidR="00FF3D9A" w:rsidRDefault="00FF3D9A" w:rsidP="00D03B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6659880" cy="2882900"/>
            <wp:effectExtent l="0" t="0" r="762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kladne udaje farmy spol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9A4" w:rsidRPr="00561039" w:rsidRDefault="00561039" w:rsidP="00D03B7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61039">
        <w:rPr>
          <w:rFonts w:ascii="Arial" w:hAnsi="Arial" w:cs="Arial"/>
          <w:i/>
          <w:sz w:val="24"/>
          <w:szCs w:val="24"/>
        </w:rPr>
        <w:t>Zdroj: Štatistický úrad SR, Štrukturálne zisťovanie fariem, 2018.</w:t>
      </w:r>
    </w:p>
    <w:p w:rsidR="00497E7F" w:rsidRDefault="00497E7F" w:rsidP="00D03B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777F" w:rsidRDefault="00A509A4" w:rsidP="00D03B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Pozrime sa na</w:t>
      </w:r>
      <w:r w:rsidR="00A44EC4">
        <w:rPr>
          <w:rFonts w:ascii="Arial" w:hAnsi="Arial" w:cs="Arial"/>
          <w:sz w:val="24"/>
          <w:szCs w:val="24"/>
        </w:rPr>
        <w:t xml:space="preserve"> trochu</w:t>
      </w:r>
      <w:r>
        <w:rPr>
          <w:rFonts w:ascii="Arial" w:hAnsi="Arial" w:cs="Arial"/>
          <w:sz w:val="24"/>
          <w:szCs w:val="24"/>
        </w:rPr>
        <w:t xml:space="preserve"> inú štatisti</w:t>
      </w:r>
      <w:r w:rsidR="00E91233">
        <w:rPr>
          <w:rFonts w:ascii="Arial" w:hAnsi="Arial" w:cs="Arial"/>
          <w:sz w:val="24"/>
          <w:szCs w:val="24"/>
        </w:rPr>
        <w:t>ku:</w:t>
      </w:r>
      <w:r w:rsidR="00BE6D3C">
        <w:rPr>
          <w:rFonts w:ascii="Arial" w:hAnsi="Arial" w:cs="Arial"/>
          <w:sz w:val="24"/>
          <w:szCs w:val="24"/>
        </w:rPr>
        <w:t xml:space="preserve"> Inštitút poľnohospodárskej politiky </w:t>
      </w:r>
      <w:r w:rsidR="00B97660">
        <w:rPr>
          <w:rFonts w:ascii="Arial" w:hAnsi="Arial" w:cs="Arial"/>
          <w:sz w:val="24"/>
          <w:szCs w:val="24"/>
        </w:rPr>
        <w:t xml:space="preserve">(IPP) </w:t>
      </w:r>
      <w:r w:rsidR="00BE6D3C">
        <w:rPr>
          <w:rFonts w:ascii="Arial" w:hAnsi="Arial" w:cs="Arial"/>
          <w:sz w:val="24"/>
          <w:szCs w:val="24"/>
        </w:rPr>
        <w:t xml:space="preserve">pri Ministerstve pôdohospodárstva a rozvoja vidieka SR vo svojej </w:t>
      </w:r>
      <w:hyperlink r:id="rId6" w:history="1">
        <w:r w:rsidR="00BE6D3C" w:rsidRPr="00BE6D3C">
          <w:rPr>
            <w:rStyle w:val="Hypertextovprepojenie"/>
            <w:rFonts w:ascii="Arial" w:hAnsi="Arial" w:cs="Arial"/>
            <w:sz w:val="24"/>
            <w:szCs w:val="24"/>
          </w:rPr>
          <w:t>Záverečnej správe revízie výdavkov na pôdohospodárstvo a rozvoj vidieka</w:t>
        </w:r>
      </w:hyperlink>
      <w:r w:rsidR="00BE6D3C">
        <w:rPr>
          <w:rFonts w:ascii="Arial" w:hAnsi="Arial" w:cs="Arial"/>
          <w:sz w:val="24"/>
          <w:szCs w:val="24"/>
        </w:rPr>
        <w:t xml:space="preserve"> z júla 2019 uvádza, že </w:t>
      </w:r>
      <w:r w:rsidR="006E6323" w:rsidRPr="00A44EC4">
        <w:rPr>
          <w:rFonts w:ascii="Arial" w:hAnsi="Arial" w:cs="Arial"/>
          <w:b/>
          <w:sz w:val="24"/>
          <w:szCs w:val="24"/>
        </w:rPr>
        <w:t>na Slovensku až 94% všetkých priamych platieb skončí v rukách 20% najväčších poberateľov</w:t>
      </w:r>
      <w:r w:rsidR="006E632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E6323">
        <w:rPr>
          <w:rFonts w:ascii="Arial" w:hAnsi="Arial" w:cs="Arial"/>
          <w:sz w:val="24"/>
          <w:szCs w:val="24"/>
        </w:rPr>
        <w:t>t.j</w:t>
      </w:r>
      <w:proofErr w:type="spellEnd"/>
      <w:r w:rsidR="006E6323">
        <w:rPr>
          <w:rFonts w:ascii="Arial" w:hAnsi="Arial" w:cs="Arial"/>
          <w:sz w:val="24"/>
          <w:szCs w:val="24"/>
        </w:rPr>
        <w:t>. cca 3</w:t>
      </w:r>
      <w:r w:rsidR="00A44EC4">
        <w:rPr>
          <w:rFonts w:ascii="Arial" w:hAnsi="Arial" w:cs="Arial"/>
          <w:sz w:val="24"/>
          <w:szCs w:val="24"/>
        </w:rPr>
        <w:t> </w:t>
      </w:r>
      <w:r w:rsidR="006E6323">
        <w:rPr>
          <w:rFonts w:ascii="Arial" w:hAnsi="Arial" w:cs="Arial"/>
          <w:sz w:val="24"/>
          <w:szCs w:val="24"/>
        </w:rPr>
        <w:t>600 fariem /</w:t>
      </w:r>
      <w:r w:rsidR="006E6323" w:rsidRPr="009E6001">
        <w:rPr>
          <w:rFonts w:ascii="Arial" w:hAnsi="Arial" w:cs="Arial"/>
          <w:i/>
          <w:sz w:val="24"/>
          <w:szCs w:val="24"/>
        </w:rPr>
        <w:t>str.21</w:t>
      </w:r>
      <w:r w:rsidR="006E6323">
        <w:rPr>
          <w:rFonts w:ascii="Arial" w:hAnsi="Arial" w:cs="Arial"/>
          <w:sz w:val="24"/>
          <w:szCs w:val="24"/>
        </w:rPr>
        <w:t>/.</w:t>
      </w:r>
      <w:r w:rsidR="00A44EC4">
        <w:rPr>
          <w:rFonts w:ascii="Arial" w:hAnsi="Arial" w:cs="Arial"/>
          <w:sz w:val="24"/>
          <w:szCs w:val="24"/>
        </w:rPr>
        <w:t xml:space="preserve"> Pre porovnanie, v</w:t>
      </w:r>
      <w:r w:rsidR="006E6323">
        <w:rPr>
          <w:rFonts w:ascii="Arial" w:hAnsi="Arial" w:cs="Arial"/>
          <w:sz w:val="24"/>
          <w:szCs w:val="24"/>
        </w:rPr>
        <w:t> krajinách Európskej únie poberá 20% najväčších fariem približne 82% priamych platieb. Na Slovensku je teda koncentrácia podpôr najväčšia zo všetkých štátov EÚ.</w:t>
      </w:r>
    </w:p>
    <w:p w:rsidR="009712B9" w:rsidRDefault="009712B9" w:rsidP="00D03B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12B9" w:rsidRDefault="009712B9" w:rsidP="00D03B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Pozastavme sa </w:t>
      </w:r>
      <w:r w:rsidR="00F32D97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trochu počítajme. Ak 20% poberateľov priamych platieb predstavuje 3600 fariem, podľa štatistického cenzu fariem z roku 2016 by to znamenalo, že sú to </w:t>
      </w:r>
      <w:r w:rsidR="00F32D97">
        <w:rPr>
          <w:rFonts w:ascii="Arial" w:hAnsi="Arial" w:cs="Arial"/>
          <w:sz w:val="24"/>
          <w:szCs w:val="24"/>
        </w:rPr>
        <w:t xml:space="preserve">všetky </w:t>
      </w:r>
      <w:r>
        <w:rPr>
          <w:rFonts w:ascii="Arial" w:hAnsi="Arial" w:cs="Arial"/>
          <w:sz w:val="24"/>
          <w:szCs w:val="24"/>
        </w:rPr>
        <w:t xml:space="preserve">podniky </w:t>
      </w:r>
      <w:r w:rsidR="00F32D97">
        <w:rPr>
          <w:rFonts w:ascii="Arial" w:hAnsi="Arial" w:cs="Arial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 xml:space="preserve">6. až </w:t>
      </w:r>
      <w:r w:rsidR="00F32D97">
        <w:rPr>
          <w:rFonts w:ascii="Arial" w:hAnsi="Arial" w:cs="Arial"/>
          <w:sz w:val="24"/>
          <w:szCs w:val="24"/>
        </w:rPr>
        <w:t>po 14. triedu</w:t>
      </w:r>
      <w:r>
        <w:rPr>
          <w:rFonts w:ascii="Arial" w:hAnsi="Arial" w:cs="Arial"/>
          <w:sz w:val="24"/>
          <w:szCs w:val="24"/>
        </w:rPr>
        <w:t xml:space="preserve"> ekonomickej veľkosti podniku (</w:t>
      </w:r>
      <w:r w:rsidR="00F32D97">
        <w:rPr>
          <w:rFonts w:ascii="Arial" w:hAnsi="Arial" w:cs="Arial"/>
          <w:sz w:val="24"/>
          <w:szCs w:val="24"/>
        </w:rPr>
        <w:t xml:space="preserve">presne </w:t>
      </w:r>
      <w:r>
        <w:rPr>
          <w:rFonts w:ascii="Arial" w:hAnsi="Arial" w:cs="Arial"/>
          <w:sz w:val="24"/>
          <w:szCs w:val="24"/>
        </w:rPr>
        <w:t>2 950 podnikov v triedach 7 až 14</w:t>
      </w:r>
      <w:r w:rsidR="009E600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plus 650 podnikov zo 6.triedy), ted</w:t>
      </w:r>
      <w:r w:rsidR="00F32D97">
        <w:rPr>
          <w:rFonts w:ascii="Arial" w:hAnsi="Arial" w:cs="Arial"/>
          <w:sz w:val="24"/>
          <w:szCs w:val="24"/>
        </w:rPr>
        <w:t>a s príjmom od cca 25 tis. až nad</w:t>
      </w:r>
      <w:r>
        <w:rPr>
          <w:rFonts w:ascii="Arial" w:hAnsi="Arial" w:cs="Arial"/>
          <w:sz w:val="24"/>
          <w:szCs w:val="24"/>
        </w:rPr>
        <w:t xml:space="preserve"> 3 mil. eur. Zjednodušene sa teda dá povedať, že </w:t>
      </w:r>
      <w:r w:rsidR="00C04A89" w:rsidRPr="00C04A89">
        <w:rPr>
          <w:rFonts w:ascii="Arial" w:hAnsi="Arial" w:cs="Arial"/>
          <w:b/>
          <w:sz w:val="24"/>
          <w:szCs w:val="24"/>
        </w:rPr>
        <w:t>94% priamych platieb ide pre</w:t>
      </w:r>
      <w:r w:rsidRPr="00C04A89">
        <w:rPr>
          <w:rFonts w:ascii="Arial" w:hAnsi="Arial" w:cs="Arial"/>
          <w:b/>
          <w:sz w:val="24"/>
          <w:szCs w:val="24"/>
        </w:rPr>
        <w:t> väčšinu veľkých a stredne veľkých podnikov</w:t>
      </w:r>
      <w:r>
        <w:rPr>
          <w:rFonts w:ascii="Arial" w:hAnsi="Arial" w:cs="Arial"/>
          <w:sz w:val="24"/>
          <w:szCs w:val="24"/>
        </w:rPr>
        <w:t xml:space="preserve">. Zvyšných 6% priamych platieb sa rozdelí medzi 22 058 subjektov v triedach 1 až </w:t>
      </w:r>
      <w:r w:rsidR="006E53B1">
        <w:rPr>
          <w:rFonts w:ascii="Arial" w:hAnsi="Arial" w:cs="Arial"/>
          <w:sz w:val="24"/>
          <w:szCs w:val="24"/>
        </w:rPr>
        <w:t xml:space="preserve">do polovice </w:t>
      </w:r>
      <w:r>
        <w:rPr>
          <w:rFonts w:ascii="Arial" w:hAnsi="Arial" w:cs="Arial"/>
          <w:sz w:val="24"/>
          <w:szCs w:val="24"/>
        </w:rPr>
        <w:t>6.</w:t>
      </w:r>
      <w:r w:rsidR="006E53B1">
        <w:rPr>
          <w:rFonts w:ascii="Arial" w:hAnsi="Arial" w:cs="Arial"/>
          <w:sz w:val="24"/>
          <w:szCs w:val="24"/>
        </w:rPr>
        <w:t xml:space="preserve"> triedy.</w:t>
      </w:r>
      <w:r w:rsidR="009E6001">
        <w:rPr>
          <w:rFonts w:ascii="Arial" w:hAnsi="Arial" w:cs="Arial"/>
          <w:sz w:val="24"/>
          <w:szCs w:val="24"/>
        </w:rPr>
        <w:t xml:space="preserve"> Toľko počty.</w:t>
      </w:r>
    </w:p>
    <w:p w:rsidR="009712B9" w:rsidRDefault="009712B9" w:rsidP="00D03B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6D9" w:rsidRDefault="00E57E27" w:rsidP="00D03B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Bohužiaľ, práve nenávratné finančné podpory </w:t>
      </w:r>
      <w:r w:rsidR="00F32D97">
        <w:rPr>
          <w:rFonts w:ascii="Arial" w:hAnsi="Arial" w:cs="Arial"/>
          <w:sz w:val="24"/>
          <w:szCs w:val="24"/>
        </w:rPr>
        <w:t xml:space="preserve">v poľnohospodárstve </w:t>
      </w:r>
      <w:r>
        <w:rPr>
          <w:rFonts w:ascii="Arial" w:hAnsi="Arial" w:cs="Arial"/>
          <w:sz w:val="24"/>
          <w:szCs w:val="24"/>
        </w:rPr>
        <w:t xml:space="preserve">predstavujú u nás </w:t>
      </w:r>
      <w:r w:rsidR="00B97660">
        <w:rPr>
          <w:rFonts w:ascii="Arial" w:hAnsi="Arial" w:cs="Arial"/>
          <w:sz w:val="24"/>
          <w:szCs w:val="24"/>
        </w:rPr>
        <w:t xml:space="preserve">najčastejší predmet </w:t>
      </w:r>
      <w:r>
        <w:rPr>
          <w:rFonts w:ascii="Arial" w:hAnsi="Arial" w:cs="Arial"/>
          <w:sz w:val="24"/>
          <w:szCs w:val="24"/>
        </w:rPr>
        <w:t>závisti</w:t>
      </w:r>
      <w:r w:rsidR="00B97660">
        <w:rPr>
          <w:rFonts w:ascii="Arial" w:hAnsi="Arial" w:cs="Arial"/>
          <w:sz w:val="24"/>
          <w:szCs w:val="24"/>
        </w:rPr>
        <w:t xml:space="preserve"> aj nenávisti</w:t>
      </w:r>
      <w:r>
        <w:rPr>
          <w:rFonts w:ascii="Arial" w:hAnsi="Arial" w:cs="Arial"/>
          <w:sz w:val="24"/>
          <w:szCs w:val="24"/>
        </w:rPr>
        <w:t xml:space="preserve">. </w:t>
      </w:r>
      <w:r w:rsidR="00B97660">
        <w:rPr>
          <w:rFonts w:ascii="Arial" w:hAnsi="Arial" w:cs="Arial"/>
          <w:sz w:val="24"/>
          <w:szCs w:val="24"/>
        </w:rPr>
        <w:t xml:space="preserve">Paradoxne pritom vyznieva skutočnosť, že z týchto príjmov </w:t>
      </w:r>
      <w:r w:rsidR="009E6001" w:rsidRPr="009E6001">
        <w:rPr>
          <w:rFonts w:ascii="Arial" w:hAnsi="Arial" w:cs="Arial"/>
          <w:b/>
          <w:sz w:val="24"/>
          <w:szCs w:val="24"/>
        </w:rPr>
        <w:t xml:space="preserve">aj tak </w:t>
      </w:r>
      <w:r w:rsidR="00B97660" w:rsidRPr="009E6001">
        <w:rPr>
          <w:rFonts w:ascii="Arial" w:hAnsi="Arial" w:cs="Arial"/>
          <w:b/>
          <w:sz w:val="24"/>
          <w:szCs w:val="24"/>
        </w:rPr>
        <w:t>nie sme schopní vytvoriť viac pridanej hodnoty</w:t>
      </w:r>
      <w:r w:rsidR="00B97660">
        <w:rPr>
          <w:rFonts w:ascii="Arial" w:hAnsi="Arial" w:cs="Arial"/>
          <w:sz w:val="24"/>
          <w:szCs w:val="24"/>
        </w:rPr>
        <w:t>. Podľa IPP</w:t>
      </w:r>
      <w:r w:rsidR="009E6001">
        <w:rPr>
          <w:rFonts w:ascii="Arial" w:hAnsi="Arial" w:cs="Arial"/>
          <w:sz w:val="24"/>
          <w:szCs w:val="24"/>
        </w:rPr>
        <w:t>,</w:t>
      </w:r>
      <w:r w:rsidR="00B97660">
        <w:rPr>
          <w:rFonts w:ascii="Arial" w:hAnsi="Arial" w:cs="Arial"/>
          <w:sz w:val="24"/>
          <w:szCs w:val="24"/>
        </w:rPr>
        <w:t xml:space="preserve"> podiel priamych platieb na zisku a pridanej hodn</w:t>
      </w:r>
      <w:r w:rsidR="00F32D97">
        <w:rPr>
          <w:rFonts w:ascii="Arial" w:hAnsi="Arial" w:cs="Arial"/>
          <w:sz w:val="24"/>
          <w:szCs w:val="24"/>
        </w:rPr>
        <w:t>ote predstavuje u nás až 166%. T</w:t>
      </w:r>
      <w:r w:rsidR="00B97660">
        <w:rPr>
          <w:rFonts w:ascii="Arial" w:hAnsi="Arial" w:cs="Arial"/>
          <w:sz w:val="24"/>
          <w:szCs w:val="24"/>
        </w:rPr>
        <w:t xml:space="preserve">o znamená, že mnohé podniky by bez podpôr skrachovali. Prostriedky z únie sa </w:t>
      </w:r>
      <w:r w:rsidR="00FC7601">
        <w:rPr>
          <w:rFonts w:ascii="Arial" w:hAnsi="Arial" w:cs="Arial"/>
          <w:sz w:val="24"/>
          <w:szCs w:val="24"/>
        </w:rPr>
        <w:t xml:space="preserve">teda </w:t>
      </w:r>
      <w:r w:rsidR="00B97660">
        <w:rPr>
          <w:rFonts w:ascii="Arial" w:hAnsi="Arial" w:cs="Arial"/>
          <w:sz w:val="24"/>
          <w:szCs w:val="24"/>
        </w:rPr>
        <w:t>nestali</w:t>
      </w:r>
      <w:r>
        <w:rPr>
          <w:rFonts w:ascii="Arial" w:hAnsi="Arial" w:cs="Arial"/>
          <w:sz w:val="24"/>
          <w:szCs w:val="24"/>
        </w:rPr>
        <w:t xml:space="preserve"> prostriedkom na </w:t>
      </w:r>
      <w:r w:rsidR="00C20C79">
        <w:rPr>
          <w:rFonts w:ascii="Arial" w:hAnsi="Arial" w:cs="Arial"/>
          <w:sz w:val="24"/>
          <w:szCs w:val="24"/>
        </w:rPr>
        <w:t xml:space="preserve">zlepšovanie ekonomických výsledkov - </w:t>
      </w:r>
      <w:r>
        <w:rPr>
          <w:rFonts w:ascii="Arial" w:hAnsi="Arial" w:cs="Arial"/>
          <w:sz w:val="24"/>
          <w:szCs w:val="24"/>
        </w:rPr>
        <w:t>zvyšovanie produktivity, zamestnávania obyvateľ</w:t>
      </w:r>
      <w:r w:rsidR="00F32D97">
        <w:rPr>
          <w:rFonts w:ascii="Arial" w:hAnsi="Arial" w:cs="Arial"/>
          <w:sz w:val="24"/>
          <w:szCs w:val="24"/>
        </w:rPr>
        <w:t>ov na vidieku, alebo rastu príjmov</w:t>
      </w:r>
      <w:r>
        <w:rPr>
          <w:rFonts w:ascii="Arial" w:hAnsi="Arial" w:cs="Arial"/>
          <w:sz w:val="24"/>
          <w:szCs w:val="24"/>
        </w:rPr>
        <w:t xml:space="preserve"> z predaných finálnych produktov. </w:t>
      </w:r>
      <w:r w:rsidR="00B97660">
        <w:rPr>
          <w:rFonts w:ascii="Arial" w:hAnsi="Arial" w:cs="Arial"/>
          <w:sz w:val="24"/>
          <w:szCs w:val="24"/>
        </w:rPr>
        <w:t>Lebo to by boli tie správne</w:t>
      </w:r>
      <w:r w:rsidR="00C20C79">
        <w:rPr>
          <w:rFonts w:ascii="Arial" w:hAnsi="Arial" w:cs="Arial"/>
          <w:sz w:val="24"/>
          <w:szCs w:val="24"/>
        </w:rPr>
        <w:t xml:space="preserve"> ukazovatele, v ktorých by sme mohli porovnávať svoju úspešnosť a efektivitu podnikania.</w:t>
      </w:r>
      <w:r w:rsidR="00F32D97">
        <w:rPr>
          <w:rFonts w:ascii="Arial" w:hAnsi="Arial" w:cs="Arial"/>
          <w:sz w:val="24"/>
          <w:szCs w:val="24"/>
        </w:rPr>
        <w:t xml:space="preserve"> Podpory v</w:t>
      </w:r>
      <w:r w:rsidR="00B97660">
        <w:rPr>
          <w:rFonts w:ascii="Arial" w:hAnsi="Arial" w:cs="Arial"/>
          <w:sz w:val="24"/>
          <w:szCs w:val="24"/>
        </w:rPr>
        <w:t xml:space="preserve"> podstate iba </w:t>
      </w:r>
      <w:r w:rsidR="00BB46D9">
        <w:rPr>
          <w:rFonts w:ascii="Arial" w:hAnsi="Arial" w:cs="Arial"/>
          <w:sz w:val="24"/>
          <w:szCs w:val="24"/>
        </w:rPr>
        <w:t>znižov</w:t>
      </w:r>
      <w:r w:rsidR="00B97660">
        <w:rPr>
          <w:rFonts w:ascii="Arial" w:hAnsi="Arial" w:cs="Arial"/>
          <w:sz w:val="24"/>
          <w:szCs w:val="24"/>
        </w:rPr>
        <w:t xml:space="preserve">ali stratu príjmov </w:t>
      </w:r>
      <w:r w:rsidR="009E6001">
        <w:rPr>
          <w:rFonts w:ascii="Arial" w:hAnsi="Arial" w:cs="Arial"/>
          <w:sz w:val="24"/>
          <w:szCs w:val="24"/>
        </w:rPr>
        <w:t xml:space="preserve">mnohých </w:t>
      </w:r>
      <w:r w:rsidR="00B97660">
        <w:rPr>
          <w:rFonts w:ascii="Arial" w:hAnsi="Arial" w:cs="Arial"/>
          <w:sz w:val="24"/>
          <w:szCs w:val="24"/>
        </w:rPr>
        <w:t>podnikov, ktoré sa tak umelo držali „nad vodou“, hoci len s pár zamestnancami a minimálnymi</w:t>
      </w:r>
      <w:r w:rsidR="00F32D97">
        <w:rPr>
          <w:rFonts w:ascii="Arial" w:hAnsi="Arial" w:cs="Arial"/>
          <w:sz w:val="24"/>
          <w:szCs w:val="24"/>
        </w:rPr>
        <w:t xml:space="preserve"> potrebami pre udržanie často iba základnej rastlinnej</w:t>
      </w:r>
      <w:r w:rsidR="00B97660">
        <w:rPr>
          <w:rFonts w:ascii="Arial" w:hAnsi="Arial" w:cs="Arial"/>
          <w:sz w:val="24"/>
          <w:szCs w:val="24"/>
        </w:rPr>
        <w:t xml:space="preserve"> výroby. </w:t>
      </w:r>
      <w:r w:rsidR="001F0550">
        <w:rPr>
          <w:rFonts w:ascii="Arial" w:hAnsi="Arial" w:cs="Arial"/>
          <w:sz w:val="24"/>
          <w:szCs w:val="24"/>
        </w:rPr>
        <w:t xml:space="preserve">Ak sa na to pozrieme pohľadom nezávislého ekonóma, </w:t>
      </w:r>
      <w:r w:rsidR="001F0550" w:rsidRPr="00C04A89">
        <w:rPr>
          <w:rFonts w:ascii="Arial" w:hAnsi="Arial" w:cs="Arial"/>
          <w:b/>
          <w:sz w:val="24"/>
          <w:szCs w:val="24"/>
        </w:rPr>
        <w:t xml:space="preserve">ide o deformáciu trhu a nešťastný vývoj </w:t>
      </w:r>
      <w:proofErr w:type="spellStart"/>
      <w:r w:rsidR="002157AE">
        <w:rPr>
          <w:rFonts w:ascii="Arial" w:hAnsi="Arial" w:cs="Arial"/>
          <w:b/>
          <w:sz w:val="24"/>
          <w:szCs w:val="24"/>
        </w:rPr>
        <w:t>agro</w:t>
      </w:r>
      <w:r w:rsidR="001F0550" w:rsidRPr="00C04A89">
        <w:rPr>
          <w:rFonts w:ascii="Arial" w:hAnsi="Arial" w:cs="Arial"/>
          <w:b/>
          <w:sz w:val="24"/>
          <w:szCs w:val="24"/>
        </w:rPr>
        <w:t>rezortu</w:t>
      </w:r>
      <w:proofErr w:type="spellEnd"/>
      <w:r w:rsidR="002157AE">
        <w:rPr>
          <w:rFonts w:ascii="Arial" w:hAnsi="Arial" w:cs="Arial"/>
          <w:b/>
          <w:sz w:val="24"/>
          <w:szCs w:val="24"/>
        </w:rPr>
        <w:t xml:space="preserve"> na Slovensku</w:t>
      </w:r>
      <w:r w:rsidR="001F0550">
        <w:rPr>
          <w:rFonts w:ascii="Arial" w:hAnsi="Arial" w:cs="Arial"/>
          <w:sz w:val="24"/>
          <w:szCs w:val="24"/>
        </w:rPr>
        <w:t>.</w:t>
      </w:r>
      <w:r w:rsidR="009E6001">
        <w:rPr>
          <w:rFonts w:ascii="Arial" w:hAnsi="Arial" w:cs="Arial"/>
          <w:sz w:val="24"/>
          <w:szCs w:val="24"/>
        </w:rPr>
        <w:t xml:space="preserve"> Príčin by sme našli určite viac...</w:t>
      </w:r>
    </w:p>
    <w:p w:rsidR="00C20C79" w:rsidRDefault="00C20C79" w:rsidP="00D03B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4A89" w:rsidRDefault="007B0DC1" w:rsidP="00D03B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Niet sa preto čomu čudovať, keď Európska Komisia v návrhoch</w:t>
      </w:r>
      <w:r w:rsidR="00D87C0F">
        <w:rPr>
          <w:rFonts w:ascii="Arial" w:hAnsi="Arial" w:cs="Arial"/>
          <w:sz w:val="24"/>
          <w:szCs w:val="24"/>
        </w:rPr>
        <w:t xml:space="preserve"> na nasledujúce programovacie obdobie mieni zásadnými spôsobmi zasiahnuť do doterajšieho systému pre</w:t>
      </w:r>
      <w:r>
        <w:rPr>
          <w:rFonts w:ascii="Arial" w:hAnsi="Arial" w:cs="Arial"/>
          <w:sz w:val="24"/>
          <w:szCs w:val="24"/>
        </w:rPr>
        <w:t>rozdeľovania financií pre európske poľnohospodárstvo a rozvoj</w:t>
      </w:r>
      <w:r w:rsidR="00D87C0F">
        <w:rPr>
          <w:rFonts w:ascii="Arial" w:hAnsi="Arial" w:cs="Arial"/>
          <w:sz w:val="24"/>
          <w:szCs w:val="24"/>
        </w:rPr>
        <w:t xml:space="preserve"> vidieka. </w:t>
      </w:r>
      <w:r w:rsidR="00652C63">
        <w:rPr>
          <w:rFonts w:ascii="Arial" w:hAnsi="Arial" w:cs="Arial"/>
          <w:sz w:val="24"/>
          <w:szCs w:val="24"/>
        </w:rPr>
        <w:t xml:space="preserve">Medzi jej priority patrí </w:t>
      </w:r>
      <w:r>
        <w:rPr>
          <w:rFonts w:ascii="Arial" w:hAnsi="Arial" w:cs="Arial"/>
          <w:sz w:val="24"/>
          <w:szCs w:val="24"/>
        </w:rPr>
        <w:t xml:space="preserve">práve </w:t>
      </w:r>
      <w:r w:rsidR="00652C63">
        <w:rPr>
          <w:rFonts w:ascii="Arial" w:hAnsi="Arial" w:cs="Arial"/>
          <w:sz w:val="24"/>
          <w:szCs w:val="24"/>
        </w:rPr>
        <w:t>väčšia podpora pre malých a mladých poľnohospodárov. Problém s vysokou koncentráciou priamych platieb (ktorý sa samozrejme netýka iba Slovenska a</w:t>
      </w:r>
      <w:r w:rsidR="009E6001">
        <w:rPr>
          <w:rFonts w:ascii="Arial" w:hAnsi="Arial" w:cs="Arial"/>
          <w:sz w:val="24"/>
          <w:szCs w:val="24"/>
        </w:rPr>
        <w:t>lebo</w:t>
      </w:r>
      <w:r w:rsidR="00652C63">
        <w:rPr>
          <w:rFonts w:ascii="Arial" w:hAnsi="Arial" w:cs="Arial"/>
          <w:sz w:val="24"/>
          <w:szCs w:val="24"/>
        </w:rPr>
        <w:t> Česke</w:t>
      </w:r>
      <w:r>
        <w:rPr>
          <w:rFonts w:ascii="Arial" w:hAnsi="Arial" w:cs="Arial"/>
          <w:sz w:val="24"/>
          <w:szCs w:val="24"/>
        </w:rPr>
        <w:t>j republiky</w:t>
      </w:r>
      <w:r w:rsidR="00652C63">
        <w:rPr>
          <w:rFonts w:ascii="Arial" w:hAnsi="Arial" w:cs="Arial"/>
          <w:sz w:val="24"/>
          <w:szCs w:val="24"/>
        </w:rPr>
        <w:t xml:space="preserve">), </w:t>
      </w:r>
      <w:r w:rsidR="00652C63" w:rsidRPr="00652C63">
        <w:rPr>
          <w:rFonts w:ascii="Arial" w:hAnsi="Arial" w:cs="Arial"/>
          <w:b/>
          <w:sz w:val="24"/>
          <w:szCs w:val="24"/>
        </w:rPr>
        <w:t xml:space="preserve">chce únia vyriešiť </w:t>
      </w:r>
      <w:proofErr w:type="spellStart"/>
      <w:r w:rsidR="00652C63" w:rsidRPr="00652C63">
        <w:rPr>
          <w:rFonts w:ascii="Arial" w:hAnsi="Arial" w:cs="Arial"/>
          <w:b/>
          <w:sz w:val="24"/>
          <w:szCs w:val="24"/>
        </w:rPr>
        <w:t>stropovaním</w:t>
      </w:r>
      <w:proofErr w:type="spellEnd"/>
      <w:r w:rsidR="00652C63" w:rsidRPr="00652C63">
        <w:rPr>
          <w:rFonts w:ascii="Arial" w:hAnsi="Arial" w:cs="Arial"/>
          <w:b/>
          <w:sz w:val="24"/>
          <w:szCs w:val="24"/>
        </w:rPr>
        <w:t xml:space="preserve"> a </w:t>
      </w:r>
      <w:proofErr w:type="spellStart"/>
      <w:r w:rsidR="00652C63" w:rsidRPr="00652C63">
        <w:rPr>
          <w:rFonts w:ascii="Arial" w:hAnsi="Arial" w:cs="Arial"/>
          <w:b/>
          <w:sz w:val="24"/>
          <w:szCs w:val="24"/>
        </w:rPr>
        <w:t>redistribúciou</w:t>
      </w:r>
      <w:proofErr w:type="spellEnd"/>
      <w:r w:rsidR="00652C63" w:rsidRPr="00652C63">
        <w:rPr>
          <w:rFonts w:ascii="Arial" w:hAnsi="Arial" w:cs="Arial"/>
          <w:b/>
          <w:sz w:val="24"/>
          <w:szCs w:val="24"/>
        </w:rPr>
        <w:t xml:space="preserve"> prostriedkov </w:t>
      </w:r>
      <w:proofErr w:type="spellStart"/>
      <w:r w:rsidR="00370B3E">
        <w:rPr>
          <w:rFonts w:ascii="Arial" w:hAnsi="Arial" w:cs="Arial"/>
          <w:b/>
          <w:sz w:val="24"/>
          <w:szCs w:val="24"/>
        </w:rPr>
        <w:t>o.i</w:t>
      </w:r>
      <w:proofErr w:type="spellEnd"/>
      <w:r w:rsidR="00370B3E">
        <w:rPr>
          <w:rFonts w:ascii="Arial" w:hAnsi="Arial" w:cs="Arial"/>
          <w:b/>
          <w:sz w:val="24"/>
          <w:szCs w:val="24"/>
        </w:rPr>
        <w:t xml:space="preserve">. aj </w:t>
      </w:r>
      <w:r w:rsidR="00652C63" w:rsidRPr="00652C63">
        <w:rPr>
          <w:rFonts w:ascii="Arial" w:hAnsi="Arial" w:cs="Arial"/>
          <w:b/>
          <w:sz w:val="24"/>
          <w:szCs w:val="24"/>
        </w:rPr>
        <w:t>pre malých a mladých farmárov</w:t>
      </w:r>
      <w:r w:rsidR="00652C63">
        <w:rPr>
          <w:rFonts w:ascii="Arial" w:hAnsi="Arial" w:cs="Arial"/>
          <w:sz w:val="24"/>
          <w:szCs w:val="24"/>
        </w:rPr>
        <w:t>. Aj keď ani Európska únia dodnes nedefinovala, čo p</w:t>
      </w:r>
      <w:r w:rsidR="009E6001">
        <w:rPr>
          <w:rFonts w:ascii="Arial" w:hAnsi="Arial" w:cs="Arial"/>
          <w:sz w:val="24"/>
          <w:szCs w:val="24"/>
        </w:rPr>
        <w:t>resne myslí pod pojmami „malý“, či</w:t>
      </w:r>
      <w:r w:rsidR="00652C63">
        <w:rPr>
          <w:rFonts w:ascii="Arial" w:hAnsi="Arial" w:cs="Arial"/>
          <w:sz w:val="24"/>
          <w:szCs w:val="24"/>
        </w:rPr>
        <w:t xml:space="preserve"> „veľký“ farmár.</w:t>
      </w:r>
      <w:r w:rsidR="009E6001">
        <w:rPr>
          <w:rFonts w:ascii="Arial" w:hAnsi="Arial" w:cs="Arial"/>
          <w:sz w:val="24"/>
          <w:szCs w:val="24"/>
        </w:rPr>
        <w:t xml:space="preserve"> </w:t>
      </w:r>
      <w:r w:rsidR="002979F0">
        <w:rPr>
          <w:rFonts w:ascii="Arial" w:hAnsi="Arial" w:cs="Arial"/>
          <w:sz w:val="24"/>
          <w:szCs w:val="24"/>
        </w:rPr>
        <w:t>No navrhovanými opatreniami ich akoby „definuje“ práve podľa výšky prijímaných priamych podpôr. Je to správne?</w:t>
      </w:r>
    </w:p>
    <w:p w:rsidR="00652C63" w:rsidRDefault="00652C63" w:rsidP="00D03B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2D97" w:rsidRDefault="000C729C" w:rsidP="00D03B7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Stropovanie</w:t>
      </w:r>
      <w:proofErr w:type="spellEnd"/>
      <w:r>
        <w:rPr>
          <w:rFonts w:ascii="Arial" w:hAnsi="Arial" w:cs="Arial"/>
          <w:sz w:val="24"/>
          <w:szCs w:val="24"/>
        </w:rPr>
        <w:t xml:space="preserve">, teda </w:t>
      </w:r>
      <w:r w:rsidR="00370B3E">
        <w:rPr>
          <w:rFonts w:ascii="Arial" w:hAnsi="Arial" w:cs="Arial"/>
          <w:sz w:val="24"/>
          <w:szCs w:val="24"/>
        </w:rPr>
        <w:t>obmedzenie výšky priamej platby</w:t>
      </w:r>
      <w:r>
        <w:rPr>
          <w:rFonts w:ascii="Arial" w:hAnsi="Arial" w:cs="Arial"/>
          <w:sz w:val="24"/>
          <w:szCs w:val="24"/>
        </w:rPr>
        <w:t xml:space="preserve"> na</w:t>
      </w:r>
      <w:r w:rsidR="00370B3E">
        <w:rPr>
          <w:rFonts w:ascii="Arial" w:hAnsi="Arial" w:cs="Arial"/>
          <w:sz w:val="24"/>
          <w:szCs w:val="24"/>
        </w:rPr>
        <w:t xml:space="preserve"> jeden podnik v jednom</w:t>
      </w:r>
      <w:r>
        <w:rPr>
          <w:rFonts w:ascii="Arial" w:hAnsi="Arial" w:cs="Arial"/>
          <w:sz w:val="24"/>
          <w:szCs w:val="24"/>
        </w:rPr>
        <w:t xml:space="preserve"> rok</w:t>
      </w:r>
      <w:r w:rsidR="00370B3E">
        <w:rPr>
          <w:rFonts w:ascii="Arial" w:hAnsi="Arial" w:cs="Arial"/>
          <w:sz w:val="24"/>
          <w:szCs w:val="24"/>
        </w:rPr>
        <w:t xml:space="preserve">u, opäť rozdeľuje slovenskú poľnohospodársku obec. „Malí“ ho vítajú, </w:t>
      </w:r>
      <w:r w:rsidR="00EF67D7">
        <w:rPr>
          <w:rFonts w:ascii="Arial" w:hAnsi="Arial" w:cs="Arial"/>
          <w:sz w:val="24"/>
          <w:szCs w:val="24"/>
        </w:rPr>
        <w:t>„veľkí“ pred ním varujú. Pravdepodobne</w:t>
      </w:r>
      <w:r w:rsidR="00370B3E">
        <w:rPr>
          <w:rFonts w:ascii="Arial" w:hAnsi="Arial" w:cs="Arial"/>
          <w:sz w:val="24"/>
          <w:szCs w:val="24"/>
        </w:rPr>
        <w:t xml:space="preserve"> </w:t>
      </w:r>
      <w:r w:rsidR="00EF67D7">
        <w:rPr>
          <w:rFonts w:ascii="Arial" w:hAnsi="Arial" w:cs="Arial"/>
          <w:sz w:val="24"/>
          <w:szCs w:val="24"/>
        </w:rPr>
        <w:t xml:space="preserve">však </w:t>
      </w:r>
      <w:r w:rsidR="00370B3E">
        <w:rPr>
          <w:rFonts w:ascii="Arial" w:hAnsi="Arial" w:cs="Arial"/>
          <w:sz w:val="24"/>
          <w:szCs w:val="24"/>
        </w:rPr>
        <w:t xml:space="preserve">bude </w:t>
      </w:r>
      <w:proofErr w:type="spellStart"/>
      <w:r w:rsidR="00370B3E">
        <w:rPr>
          <w:rFonts w:ascii="Arial" w:hAnsi="Arial" w:cs="Arial"/>
          <w:sz w:val="24"/>
          <w:szCs w:val="24"/>
        </w:rPr>
        <w:t>stropovanie</w:t>
      </w:r>
      <w:proofErr w:type="spellEnd"/>
      <w:r w:rsidR="00370B3E">
        <w:rPr>
          <w:rFonts w:ascii="Arial" w:hAnsi="Arial" w:cs="Arial"/>
          <w:sz w:val="24"/>
          <w:szCs w:val="24"/>
        </w:rPr>
        <w:t xml:space="preserve"> v únii zavedené povinne</w:t>
      </w:r>
      <w:r w:rsidR="00E375A1">
        <w:rPr>
          <w:rFonts w:ascii="Arial" w:hAnsi="Arial" w:cs="Arial"/>
          <w:sz w:val="24"/>
          <w:szCs w:val="24"/>
        </w:rPr>
        <w:t xml:space="preserve"> a momentálne je nastavené na </w:t>
      </w:r>
      <w:r w:rsidR="00EF67D7">
        <w:rPr>
          <w:rFonts w:ascii="Arial" w:hAnsi="Arial" w:cs="Arial"/>
          <w:sz w:val="24"/>
          <w:szCs w:val="24"/>
        </w:rPr>
        <w:t xml:space="preserve">úroveň </w:t>
      </w:r>
      <w:r w:rsidR="00E375A1">
        <w:rPr>
          <w:rFonts w:ascii="Arial" w:hAnsi="Arial" w:cs="Arial"/>
          <w:sz w:val="24"/>
          <w:szCs w:val="24"/>
        </w:rPr>
        <w:t>100 000 euro</w:t>
      </w:r>
      <w:r w:rsidR="00370B3E">
        <w:rPr>
          <w:rFonts w:ascii="Arial" w:hAnsi="Arial" w:cs="Arial"/>
          <w:sz w:val="24"/>
          <w:szCs w:val="24"/>
        </w:rPr>
        <w:t xml:space="preserve">. </w:t>
      </w:r>
      <w:r w:rsidR="00EF67D7">
        <w:rPr>
          <w:rFonts w:ascii="Arial" w:hAnsi="Arial" w:cs="Arial"/>
          <w:sz w:val="24"/>
          <w:szCs w:val="24"/>
        </w:rPr>
        <w:t>No mali by sa ešte dokončiť rokovania</w:t>
      </w:r>
      <w:r w:rsidR="00370B3E">
        <w:rPr>
          <w:rFonts w:ascii="Arial" w:hAnsi="Arial" w:cs="Arial"/>
          <w:sz w:val="24"/>
          <w:szCs w:val="24"/>
        </w:rPr>
        <w:t xml:space="preserve">, aby boli </w:t>
      </w:r>
      <w:r w:rsidR="00370B3E" w:rsidRPr="00F853E3">
        <w:rPr>
          <w:rFonts w:ascii="Arial" w:hAnsi="Arial" w:cs="Arial"/>
          <w:b/>
          <w:sz w:val="24"/>
          <w:szCs w:val="24"/>
        </w:rPr>
        <w:t xml:space="preserve">odpočítateľné personálne náklady spojené s poľnohospodárskou činnosťou, prinajmenšom </w:t>
      </w:r>
      <w:r w:rsidR="00EF67D7">
        <w:rPr>
          <w:rFonts w:ascii="Arial" w:hAnsi="Arial" w:cs="Arial"/>
          <w:b/>
          <w:sz w:val="24"/>
          <w:szCs w:val="24"/>
        </w:rPr>
        <w:t xml:space="preserve">v objeme </w:t>
      </w:r>
      <w:r w:rsidR="00370B3E" w:rsidRPr="00F853E3">
        <w:rPr>
          <w:rFonts w:ascii="Arial" w:hAnsi="Arial" w:cs="Arial"/>
          <w:b/>
          <w:sz w:val="24"/>
          <w:szCs w:val="24"/>
        </w:rPr>
        <w:t>50%</w:t>
      </w:r>
      <w:r w:rsidR="002979F0">
        <w:rPr>
          <w:rFonts w:ascii="Arial" w:hAnsi="Arial" w:cs="Arial"/>
          <w:b/>
          <w:sz w:val="24"/>
          <w:szCs w:val="24"/>
        </w:rPr>
        <w:t>, prípadne i viac</w:t>
      </w:r>
      <w:r w:rsidR="00370B3E">
        <w:rPr>
          <w:rFonts w:ascii="Arial" w:hAnsi="Arial" w:cs="Arial"/>
          <w:sz w:val="24"/>
          <w:szCs w:val="24"/>
        </w:rPr>
        <w:t xml:space="preserve">. V tom prípade by väčšina podnikov, ktoré skutočne produkujú, majú diverzifikovanú výrobu a zamestnávajú desiatky pracovníkov, nemala byť nijak významnejšie ukrátená. </w:t>
      </w:r>
      <w:r w:rsidR="004E4B43">
        <w:rPr>
          <w:rFonts w:ascii="Arial" w:hAnsi="Arial" w:cs="Arial"/>
          <w:sz w:val="24"/>
          <w:szCs w:val="24"/>
        </w:rPr>
        <w:t xml:space="preserve">V tomto znení je nastavené aj </w:t>
      </w:r>
      <w:r w:rsidR="00F853E3">
        <w:rPr>
          <w:rFonts w:ascii="Arial" w:hAnsi="Arial" w:cs="Arial"/>
          <w:sz w:val="24"/>
          <w:szCs w:val="24"/>
        </w:rPr>
        <w:t xml:space="preserve">aktuálne </w:t>
      </w:r>
      <w:r w:rsidR="004E4B43">
        <w:rPr>
          <w:rFonts w:ascii="Arial" w:hAnsi="Arial" w:cs="Arial"/>
          <w:sz w:val="24"/>
          <w:szCs w:val="24"/>
        </w:rPr>
        <w:t>Programov</w:t>
      </w:r>
      <w:r w:rsidR="002979F0">
        <w:rPr>
          <w:rFonts w:ascii="Arial" w:hAnsi="Arial" w:cs="Arial"/>
          <w:sz w:val="24"/>
          <w:szCs w:val="24"/>
        </w:rPr>
        <w:t xml:space="preserve">é vyhlásenie vlády SR. Pre budúcnosť </w:t>
      </w:r>
      <w:r w:rsidR="004E4B43">
        <w:rPr>
          <w:rFonts w:ascii="Arial" w:hAnsi="Arial" w:cs="Arial"/>
          <w:sz w:val="24"/>
          <w:szCs w:val="24"/>
        </w:rPr>
        <w:t>bude</w:t>
      </w:r>
      <w:r w:rsidR="002979F0">
        <w:rPr>
          <w:rFonts w:ascii="Arial" w:hAnsi="Arial" w:cs="Arial"/>
          <w:sz w:val="24"/>
          <w:szCs w:val="24"/>
        </w:rPr>
        <w:t xml:space="preserve"> významná</w:t>
      </w:r>
      <w:r w:rsidR="004E4B43">
        <w:rPr>
          <w:rFonts w:ascii="Arial" w:hAnsi="Arial" w:cs="Arial"/>
          <w:sz w:val="24"/>
          <w:szCs w:val="24"/>
        </w:rPr>
        <w:t xml:space="preserve"> aj definícia pojmu</w:t>
      </w:r>
      <w:r w:rsidR="00652C63" w:rsidRPr="0069516C">
        <w:rPr>
          <w:rFonts w:ascii="Arial" w:hAnsi="Arial" w:cs="Arial"/>
          <w:b/>
          <w:sz w:val="24"/>
          <w:szCs w:val="24"/>
        </w:rPr>
        <w:t xml:space="preserve"> „aktívny“, resp. „skutočný farmár“</w:t>
      </w:r>
      <w:r w:rsidR="004E4B43">
        <w:rPr>
          <w:rFonts w:ascii="Arial" w:hAnsi="Arial" w:cs="Arial"/>
          <w:sz w:val="24"/>
          <w:szCs w:val="24"/>
        </w:rPr>
        <w:t>, o ktorý sa aj únia bude opierať v ďalšo</w:t>
      </w:r>
      <w:r w:rsidR="002979F0">
        <w:rPr>
          <w:rFonts w:ascii="Arial" w:hAnsi="Arial" w:cs="Arial"/>
          <w:sz w:val="24"/>
          <w:szCs w:val="24"/>
        </w:rPr>
        <w:t>m nastavovaní podporných schém.</w:t>
      </w:r>
    </w:p>
    <w:p w:rsidR="00F32D97" w:rsidRDefault="00F32D97" w:rsidP="00D03B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2C63" w:rsidRDefault="00F32D97" w:rsidP="00D03B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Pravda je, že priemerná veľkosť poľnohospodárskeho podniku na Slovensku je 81 ha. Je to jedna z najväčších výmer v rámci členských krajín EÚ, kde je priemer 16 ha</w:t>
      </w:r>
      <w:r w:rsidR="00EF67D7">
        <w:rPr>
          <w:rFonts w:ascii="Arial" w:hAnsi="Arial" w:cs="Arial"/>
          <w:sz w:val="24"/>
          <w:szCs w:val="24"/>
        </w:rPr>
        <w:t xml:space="preserve"> a 68% fariem má menej ako 5 hektárov</w:t>
      </w:r>
      <w:r>
        <w:rPr>
          <w:rFonts w:ascii="Arial" w:hAnsi="Arial" w:cs="Arial"/>
          <w:sz w:val="24"/>
          <w:szCs w:val="24"/>
        </w:rPr>
        <w:t xml:space="preserve">. Hovorí sa tiež, že základnou jednotkou európskeho poľnohospodárstva je „rodinná farma“, no definície tohto typu podniku nie sú jednotné ani v rámci EÚ a môžu označovať výmerou celkom malú, alebo aj stredne veľkú farmu. </w:t>
      </w:r>
      <w:r w:rsidR="001C3181">
        <w:rPr>
          <w:rFonts w:ascii="Arial" w:hAnsi="Arial" w:cs="Arial"/>
          <w:sz w:val="24"/>
          <w:szCs w:val="24"/>
        </w:rPr>
        <w:t>Určite by bolo vhodné zadefinovať aj tento štatút farmy. Na veľkosť farmy totiž</w:t>
      </w:r>
      <w:r>
        <w:rPr>
          <w:rFonts w:ascii="Arial" w:hAnsi="Arial" w:cs="Arial"/>
          <w:sz w:val="24"/>
          <w:szCs w:val="24"/>
        </w:rPr>
        <w:t xml:space="preserve"> môžu vplývať rôzne pohľady hodnotenia, pričom najčastejšie sa porovnávajú výmera a ekonomické výsledky. No mohli by sme sa pozrieť aj z hľadiska </w:t>
      </w:r>
      <w:r w:rsidRPr="00E91233">
        <w:rPr>
          <w:rFonts w:ascii="Arial" w:hAnsi="Arial" w:cs="Arial"/>
          <w:b/>
          <w:sz w:val="24"/>
          <w:szCs w:val="24"/>
        </w:rPr>
        <w:t>potreby ľudskej práce, benefitov pre rodiny a</w:t>
      </w:r>
      <w:r w:rsidR="001C3181">
        <w:rPr>
          <w:rFonts w:ascii="Arial" w:hAnsi="Arial" w:cs="Arial"/>
          <w:b/>
          <w:sz w:val="24"/>
          <w:szCs w:val="24"/>
        </w:rPr>
        <w:t xml:space="preserve"> miestne </w:t>
      </w:r>
      <w:r w:rsidRPr="00E91233">
        <w:rPr>
          <w:rFonts w:ascii="Arial" w:hAnsi="Arial" w:cs="Arial"/>
          <w:b/>
          <w:sz w:val="24"/>
          <w:szCs w:val="24"/>
        </w:rPr>
        <w:t xml:space="preserve">komunity, alebo </w:t>
      </w:r>
      <w:r w:rsidR="00EF67D7">
        <w:rPr>
          <w:rFonts w:ascii="Arial" w:hAnsi="Arial" w:cs="Arial"/>
          <w:b/>
          <w:sz w:val="24"/>
          <w:szCs w:val="24"/>
        </w:rPr>
        <w:t>cez prínosy</w:t>
      </w:r>
      <w:r w:rsidRPr="00E91233">
        <w:rPr>
          <w:rFonts w:ascii="Arial" w:hAnsi="Arial" w:cs="Arial"/>
          <w:b/>
          <w:sz w:val="24"/>
          <w:szCs w:val="24"/>
        </w:rPr>
        <w:t xml:space="preserve"> pre životné prostredie a krajinu</w:t>
      </w:r>
      <w:r>
        <w:rPr>
          <w:rFonts w:ascii="Arial" w:hAnsi="Arial" w:cs="Arial"/>
          <w:sz w:val="24"/>
          <w:szCs w:val="24"/>
        </w:rPr>
        <w:t>. Pohľad sa môže meniť aj s časom, či miestom – v rôznych krajinách môžu mať</w:t>
      </w:r>
      <w:r w:rsidR="001C3181">
        <w:rPr>
          <w:rFonts w:ascii="Arial" w:hAnsi="Arial" w:cs="Arial"/>
          <w:sz w:val="24"/>
          <w:szCs w:val="24"/>
        </w:rPr>
        <w:t xml:space="preserve"> na vec</w:t>
      </w:r>
      <w:r>
        <w:rPr>
          <w:rFonts w:ascii="Arial" w:hAnsi="Arial" w:cs="Arial"/>
          <w:sz w:val="24"/>
          <w:szCs w:val="24"/>
        </w:rPr>
        <w:t xml:space="preserve"> rôzny názor. Pravdepodobne aj únia musí zvážiť </w:t>
      </w:r>
      <w:proofErr w:type="spellStart"/>
      <w:r>
        <w:rPr>
          <w:rFonts w:ascii="Arial" w:hAnsi="Arial" w:cs="Arial"/>
          <w:sz w:val="24"/>
          <w:szCs w:val="24"/>
        </w:rPr>
        <w:t>redefiníciu</w:t>
      </w:r>
      <w:proofErr w:type="spellEnd"/>
      <w:r>
        <w:rPr>
          <w:rFonts w:ascii="Arial" w:hAnsi="Arial" w:cs="Arial"/>
          <w:sz w:val="24"/>
          <w:szCs w:val="24"/>
        </w:rPr>
        <w:t xml:space="preserve"> týchto základných pojmov. Aspoň kvôli presnosti pri presadzovaní svojich budúcich cieľov... </w:t>
      </w:r>
      <w:r w:rsidR="0069516C">
        <w:rPr>
          <w:rFonts w:ascii="Arial" w:hAnsi="Arial" w:cs="Arial"/>
          <w:sz w:val="24"/>
          <w:szCs w:val="24"/>
        </w:rPr>
        <w:t xml:space="preserve"> </w:t>
      </w:r>
    </w:p>
    <w:p w:rsidR="009712B9" w:rsidRDefault="009712B9" w:rsidP="00D03B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3BA4" w:rsidRDefault="00E375A1" w:rsidP="00AB59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Bude teda nesmierne dôležité pre všetkých slovenských poľnohospodárov, malých i veľkých, aby sa podmienky </w:t>
      </w:r>
      <w:r w:rsidR="00DF5608">
        <w:rPr>
          <w:rFonts w:ascii="Arial" w:hAnsi="Arial" w:cs="Arial"/>
          <w:sz w:val="24"/>
          <w:szCs w:val="24"/>
        </w:rPr>
        <w:t xml:space="preserve">budúcej Spoločnej poľnohospodárskej politiky EÚ </w:t>
      </w:r>
      <w:r>
        <w:rPr>
          <w:rFonts w:ascii="Arial" w:hAnsi="Arial" w:cs="Arial"/>
          <w:sz w:val="24"/>
          <w:szCs w:val="24"/>
        </w:rPr>
        <w:t xml:space="preserve">nastavili čo najspravodlivejšie. </w:t>
      </w:r>
      <w:r w:rsidR="00AB59BE">
        <w:rPr>
          <w:rFonts w:ascii="Arial" w:hAnsi="Arial" w:cs="Arial"/>
          <w:sz w:val="24"/>
          <w:szCs w:val="24"/>
        </w:rPr>
        <w:t>No a</w:t>
      </w:r>
      <w:r>
        <w:rPr>
          <w:rFonts w:ascii="Arial" w:hAnsi="Arial" w:cs="Arial"/>
          <w:sz w:val="24"/>
          <w:szCs w:val="24"/>
        </w:rPr>
        <w:t>by sme si na Slovensku neublížili</w:t>
      </w:r>
      <w:r w:rsidR="00AB59BE">
        <w:rPr>
          <w:rFonts w:ascii="Arial" w:hAnsi="Arial" w:cs="Arial"/>
          <w:sz w:val="24"/>
          <w:szCs w:val="24"/>
        </w:rPr>
        <w:t xml:space="preserve"> viac ako treba</w:t>
      </w:r>
      <w:r w:rsidR="00DF560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najmä vo vrstve stredne veľkých podnikov</w:t>
      </w:r>
      <w:r w:rsidR="00DF5608">
        <w:rPr>
          <w:rFonts w:ascii="Arial" w:hAnsi="Arial" w:cs="Arial"/>
          <w:sz w:val="24"/>
          <w:szCs w:val="24"/>
        </w:rPr>
        <w:t>)</w:t>
      </w:r>
      <w:r w:rsidR="00AB59BE">
        <w:rPr>
          <w:rFonts w:ascii="Arial" w:hAnsi="Arial" w:cs="Arial"/>
          <w:sz w:val="24"/>
          <w:szCs w:val="24"/>
        </w:rPr>
        <w:t xml:space="preserve">, </w:t>
      </w:r>
      <w:r w:rsidR="00AB59BE" w:rsidRPr="00AB59BE">
        <w:rPr>
          <w:rFonts w:ascii="Arial" w:hAnsi="Arial" w:cs="Arial"/>
          <w:b/>
          <w:sz w:val="24"/>
          <w:szCs w:val="24"/>
        </w:rPr>
        <w:t>musíme spoločne hľadať rovnováhu</w:t>
      </w:r>
      <w:r>
        <w:rPr>
          <w:rFonts w:ascii="Arial" w:hAnsi="Arial" w:cs="Arial"/>
          <w:sz w:val="24"/>
          <w:szCs w:val="24"/>
        </w:rPr>
        <w:t>.</w:t>
      </w:r>
      <w:r w:rsidR="00DF5608">
        <w:rPr>
          <w:rFonts w:ascii="Arial" w:hAnsi="Arial" w:cs="Arial"/>
          <w:sz w:val="24"/>
          <w:szCs w:val="24"/>
        </w:rPr>
        <w:t xml:space="preserve"> Bolo by pekné</w:t>
      </w:r>
      <w:r w:rsidR="00AB59BE">
        <w:rPr>
          <w:rFonts w:ascii="Arial" w:hAnsi="Arial" w:cs="Arial"/>
          <w:sz w:val="24"/>
          <w:szCs w:val="24"/>
        </w:rPr>
        <w:t xml:space="preserve">, keby okrem „spoločného nepriateľa“ dokázali malých a veľkých spojiť aj </w:t>
      </w:r>
      <w:r w:rsidR="00AB59BE" w:rsidRPr="00B658D9">
        <w:rPr>
          <w:rFonts w:ascii="Arial" w:hAnsi="Arial" w:cs="Arial"/>
          <w:b/>
          <w:sz w:val="24"/>
          <w:szCs w:val="24"/>
        </w:rPr>
        <w:t>spoločné záujmy</w:t>
      </w:r>
      <w:r w:rsidR="00AB59BE">
        <w:rPr>
          <w:rFonts w:ascii="Arial" w:hAnsi="Arial" w:cs="Arial"/>
          <w:sz w:val="24"/>
          <w:szCs w:val="24"/>
        </w:rPr>
        <w:t>. A tými by mala byť v prvom rade potravinová bezpečnosť, rozvoj agropotravinárskeho sektoru a čo najmenej korupcie pri rozdeľovaní poľnohospodárskych fondov.</w:t>
      </w:r>
      <w:r w:rsidR="00DF5608">
        <w:rPr>
          <w:rFonts w:ascii="Arial" w:hAnsi="Arial" w:cs="Arial"/>
          <w:sz w:val="24"/>
          <w:szCs w:val="24"/>
        </w:rPr>
        <w:t xml:space="preserve"> Riešenie preto hľadajme spolu</w:t>
      </w:r>
      <w:r w:rsidR="00820F92">
        <w:rPr>
          <w:rFonts w:ascii="Arial" w:hAnsi="Arial" w:cs="Arial"/>
          <w:sz w:val="24"/>
          <w:szCs w:val="24"/>
        </w:rPr>
        <w:t>, v rozumnom konsenze</w:t>
      </w:r>
      <w:r w:rsidR="00DF5608">
        <w:rPr>
          <w:rFonts w:ascii="Arial" w:hAnsi="Arial" w:cs="Arial"/>
          <w:sz w:val="24"/>
          <w:szCs w:val="24"/>
        </w:rPr>
        <w:t xml:space="preserve"> a pre prospech všetkých zodpovedne pracujúcich na pôde tejto krajiny, pre výživu jej obyvateľov</w:t>
      </w:r>
      <w:r w:rsidR="00B658D9">
        <w:rPr>
          <w:rFonts w:ascii="Arial" w:hAnsi="Arial" w:cs="Arial"/>
          <w:sz w:val="24"/>
          <w:szCs w:val="24"/>
        </w:rPr>
        <w:t xml:space="preserve"> a ochranu prírodných zdrojov</w:t>
      </w:r>
      <w:r w:rsidR="00DF5608">
        <w:rPr>
          <w:rFonts w:ascii="Arial" w:hAnsi="Arial" w:cs="Arial"/>
          <w:sz w:val="24"/>
          <w:szCs w:val="24"/>
        </w:rPr>
        <w:t>.</w:t>
      </w:r>
    </w:p>
    <w:p w:rsidR="00525B06" w:rsidRDefault="00525B06" w:rsidP="00AB59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3BA4" w:rsidRDefault="009F3BA4" w:rsidP="00D03B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4A89" w:rsidRDefault="00014F8F" w:rsidP="00C04A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Spracovala: Vl</w:t>
      </w:r>
      <w:r w:rsidR="00B658D9">
        <w:rPr>
          <w:rFonts w:ascii="Arial" w:hAnsi="Arial" w:cs="Arial"/>
          <w:sz w:val="24"/>
          <w:szCs w:val="24"/>
        </w:rPr>
        <w:t>ada Debnárová,</w:t>
      </w:r>
      <w:r>
        <w:rPr>
          <w:rFonts w:ascii="Arial" w:hAnsi="Arial" w:cs="Arial"/>
          <w:sz w:val="24"/>
          <w:szCs w:val="24"/>
        </w:rPr>
        <w:t xml:space="preserve"> tajomníčka ZPO,</w:t>
      </w:r>
      <w:bookmarkStart w:id="0" w:name="_GoBack"/>
      <w:bookmarkEnd w:id="0"/>
      <w:r w:rsidR="00B658D9">
        <w:rPr>
          <w:rFonts w:ascii="Arial" w:hAnsi="Arial" w:cs="Arial"/>
          <w:sz w:val="24"/>
          <w:szCs w:val="24"/>
        </w:rPr>
        <w:t xml:space="preserve"> 13</w:t>
      </w:r>
      <w:r w:rsidR="00AB59BE">
        <w:rPr>
          <w:rFonts w:ascii="Arial" w:hAnsi="Arial" w:cs="Arial"/>
          <w:sz w:val="24"/>
          <w:szCs w:val="24"/>
        </w:rPr>
        <w:t>.7.2020.</w:t>
      </w:r>
    </w:p>
    <w:p w:rsidR="008D70D3" w:rsidRDefault="008D70D3"/>
    <w:sectPr w:rsidR="008D70D3" w:rsidSect="00120876">
      <w:pgSz w:w="11906" w:h="16838"/>
      <w:pgMar w:top="873" w:right="567" w:bottom="87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1C"/>
    <w:rsid w:val="00014F8F"/>
    <w:rsid w:val="000C729C"/>
    <w:rsid w:val="00120876"/>
    <w:rsid w:val="001C3181"/>
    <w:rsid w:val="001F0550"/>
    <w:rsid w:val="00202A3D"/>
    <w:rsid w:val="002157AE"/>
    <w:rsid w:val="00243FF4"/>
    <w:rsid w:val="002979F0"/>
    <w:rsid w:val="002A4C18"/>
    <w:rsid w:val="00370B3E"/>
    <w:rsid w:val="00497E7F"/>
    <w:rsid w:val="004A3757"/>
    <w:rsid w:val="004C0166"/>
    <w:rsid w:val="004E4B43"/>
    <w:rsid w:val="00525B06"/>
    <w:rsid w:val="00561039"/>
    <w:rsid w:val="00617CC7"/>
    <w:rsid w:val="00652C63"/>
    <w:rsid w:val="0069516C"/>
    <w:rsid w:val="006E53B1"/>
    <w:rsid w:val="006E6323"/>
    <w:rsid w:val="00743E51"/>
    <w:rsid w:val="007B0DC1"/>
    <w:rsid w:val="00820F92"/>
    <w:rsid w:val="008425F8"/>
    <w:rsid w:val="008D70D3"/>
    <w:rsid w:val="008E4A71"/>
    <w:rsid w:val="009712B9"/>
    <w:rsid w:val="009E6001"/>
    <w:rsid w:val="009F3BA4"/>
    <w:rsid w:val="00A44EC4"/>
    <w:rsid w:val="00A509A4"/>
    <w:rsid w:val="00A7371C"/>
    <w:rsid w:val="00A83500"/>
    <w:rsid w:val="00A94E27"/>
    <w:rsid w:val="00AB59BE"/>
    <w:rsid w:val="00B658D9"/>
    <w:rsid w:val="00B97660"/>
    <w:rsid w:val="00BB46D9"/>
    <w:rsid w:val="00BE6D3C"/>
    <w:rsid w:val="00BF01D9"/>
    <w:rsid w:val="00C04A89"/>
    <w:rsid w:val="00C20C79"/>
    <w:rsid w:val="00C6777F"/>
    <w:rsid w:val="00D03B79"/>
    <w:rsid w:val="00D87C0F"/>
    <w:rsid w:val="00DA0CDA"/>
    <w:rsid w:val="00DA6DB3"/>
    <w:rsid w:val="00DF5608"/>
    <w:rsid w:val="00E375A1"/>
    <w:rsid w:val="00E57E27"/>
    <w:rsid w:val="00E91233"/>
    <w:rsid w:val="00EF67D7"/>
    <w:rsid w:val="00F32D97"/>
    <w:rsid w:val="00F57103"/>
    <w:rsid w:val="00F853E3"/>
    <w:rsid w:val="00FC7601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C3E6F-569F-4D29-8FF6-2E320877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E4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8E4A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D70D3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17CC7"/>
    <w:rPr>
      <w:color w:val="954F72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8E4A7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8E4A7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post-submitted">
    <w:name w:val="post-submitted"/>
    <w:basedOn w:val="Predvolenpsmoodseku"/>
    <w:rsid w:val="008E4A71"/>
  </w:style>
  <w:style w:type="character" w:styleId="Siln">
    <w:name w:val="Strong"/>
    <w:basedOn w:val="Predvolenpsmoodseku"/>
    <w:uiPriority w:val="22"/>
    <w:qFormat/>
    <w:rsid w:val="008E4A71"/>
    <w:rPr>
      <w:b/>
      <w:bCs/>
    </w:rPr>
  </w:style>
  <w:style w:type="paragraph" w:customStyle="1" w:styleId="align-justify">
    <w:name w:val="align-justify"/>
    <w:basedOn w:val="Normlny"/>
    <w:rsid w:val="008E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8E4A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09099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psr.sk/aktualne/zaverecna-sprava-revizie-vydavkov-na-podohospodarstvo-a-rozvoj-vidieka/14541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Debnárová</dc:creator>
  <cp:keywords/>
  <dc:description/>
  <cp:lastModifiedBy>Vladimíra Debnárová</cp:lastModifiedBy>
  <cp:revision>12</cp:revision>
  <dcterms:created xsi:type="dcterms:W3CDTF">2020-07-10T11:50:00Z</dcterms:created>
  <dcterms:modified xsi:type="dcterms:W3CDTF">2020-07-13T07:02:00Z</dcterms:modified>
</cp:coreProperties>
</file>