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9800A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BC5157">
        <w:rPr>
          <w:rFonts w:ascii="Arial" w:hAnsi="Arial" w:cs="Arial"/>
          <w:b/>
          <w:sz w:val="28"/>
          <w:szCs w:val="28"/>
        </w:rPr>
        <w:t>9</w:t>
      </w:r>
      <w:r w:rsidR="00E7783F">
        <w:rPr>
          <w:rFonts w:ascii="Arial" w:hAnsi="Arial" w:cs="Arial"/>
          <w:b/>
          <w:sz w:val="28"/>
          <w:szCs w:val="28"/>
        </w:rPr>
        <w:t>.4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 </w:t>
      </w:r>
      <w:r w:rsidR="00A6770B">
        <w:rPr>
          <w:rFonts w:ascii="Arial" w:hAnsi="Arial" w:cs="Arial"/>
          <w:b/>
          <w:smallCaps/>
        </w:rPr>
        <w:t>9</w:t>
      </w:r>
      <w:r w:rsidR="00AA3BD1">
        <w:rPr>
          <w:rFonts w:ascii="Arial" w:hAnsi="Arial" w:cs="Arial"/>
          <w:b/>
          <w:smallCaps/>
        </w:rPr>
        <w:t>.4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167,00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142,87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</w:t>
            </w:r>
            <w:r w:rsidR="00A6770B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117,00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153,60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AA3BD1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</w:t>
            </w:r>
            <w:r w:rsidR="00A6770B">
              <w:rPr>
                <w:rFonts w:ascii="Arial" w:hAnsi="Arial" w:cs="Arial"/>
              </w:rPr>
              <w:t>,50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AA3BD1">
        <w:rPr>
          <w:rFonts w:ascii="Arial" w:hAnsi="Arial" w:cs="Arial"/>
          <w:i/>
          <w:sz w:val="20"/>
          <w:szCs w:val="20"/>
        </w:rPr>
        <w:t xml:space="preserve"> 1,2234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AA3BD1">
        <w:rPr>
          <w:rFonts w:ascii="Arial" w:hAnsi="Arial" w:cs="Arial"/>
          <w:i/>
          <w:sz w:val="20"/>
          <w:szCs w:val="20"/>
        </w:rPr>
        <w:t xml:space="preserve"> ; EURO/HUF: 312,56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AA3BD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59404A" w:rsidRDefault="0059404A" w:rsidP="0059404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59404A" w:rsidTr="0059404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9.aprílu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59404A" w:rsidTr="0059404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170,00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153,61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159,27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152,41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158,90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157,57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163,34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144,11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157,06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141,24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165,00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9404A" w:rsidTr="0059404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175,37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Mníchov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156,84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59404A" w:rsidTr="0059404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133,64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9404A" w:rsidRDefault="0059404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59404A" w:rsidRDefault="0059404A" w:rsidP="0059404A">
      <w:pPr>
        <w:rPr>
          <w:rFonts w:ascii="Arial" w:hAnsi="Arial" w:cs="Arial"/>
        </w:rPr>
      </w:pPr>
    </w:p>
    <w:p w:rsidR="0059404A" w:rsidRDefault="0059404A" w:rsidP="0059404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59404A" w:rsidRDefault="0059404A" w:rsidP="0059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59404A" w:rsidRDefault="0059404A" w:rsidP="0059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59404A" w:rsidRDefault="0059404A" w:rsidP="005940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6C328B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13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14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1235AA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C535F2" w:rsidRDefault="00B63844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Obchod s obilím</w:t>
      </w:r>
      <w:r w:rsidR="0060306A">
        <w:rPr>
          <w:rFonts w:ascii="Arial" w:hAnsi="Arial" w:cs="Arial"/>
        </w:rPr>
        <w:t xml:space="preserve"> </w:t>
      </w:r>
      <w:r w:rsidR="000F15B0">
        <w:rPr>
          <w:rFonts w:ascii="Arial" w:hAnsi="Arial" w:cs="Arial"/>
        </w:rPr>
        <w:t>na Slovensku</w:t>
      </w:r>
      <w:r w:rsidR="00547F5E">
        <w:rPr>
          <w:rFonts w:ascii="Arial" w:hAnsi="Arial" w:cs="Arial"/>
        </w:rPr>
        <w:t xml:space="preserve"> sa zrejme rozhýbe v najbližších týždňoch, po inventarizácii stavu ozimín a oseve jarín, kedy by sa mali ujasniť už aj ceny obilia z novej úrody roku 2018. Zatiaľ s úrodou r.2017 sa obchoduje málo, mierne stúpla cena kŕmnych obilnín, po ktorých je stále dopyt.</w:t>
      </w:r>
    </w:p>
    <w:p w:rsidR="00D17B54" w:rsidRDefault="0063027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posledného krátkodobého výhľadu Európskej Komisie </w:t>
      </w:r>
      <w:r w:rsidR="00793711">
        <w:rPr>
          <w:rFonts w:ascii="Arial" w:hAnsi="Arial" w:cs="Arial"/>
        </w:rPr>
        <w:t xml:space="preserve">(k 23.3. 2018) </w:t>
      </w:r>
      <w:r>
        <w:rPr>
          <w:rFonts w:ascii="Arial" w:hAnsi="Arial" w:cs="Arial"/>
        </w:rPr>
        <w:t>dosiahne v tomto roku v krajinách Európskej únie produkcia obilnín asi 305 mil. ton, čo je o 0,9% menej ako 5-ročný priemer E</w:t>
      </w:r>
      <w:r w:rsidR="00793711">
        <w:rPr>
          <w:rFonts w:ascii="Arial" w:hAnsi="Arial" w:cs="Arial"/>
        </w:rPr>
        <w:t xml:space="preserve">Ú. </w:t>
      </w:r>
      <w:r w:rsidR="00793711">
        <w:rPr>
          <w:rFonts w:ascii="Arial" w:hAnsi="Arial" w:cs="Arial"/>
        </w:rPr>
        <w:t>K poklesu produkcie dôjde najmä v Poľsku a Rumunsku.</w:t>
      </w:r>
      <w:r w:rsidR="00793711">
        <w:rPr>
          <w:rFonts w:ascii="Arial" w:hAnsi="Arial" w:cs="Arial"/>
        </w:rPr>
        <w:t xml:space="preserve"> Osevná plocha sa zníži na 54,8 mil. ha (2017: 55,6 mil. ha), najmä u pšenice mäkkej a pšenice tvrdej.</w:t>
      </w:r>
      <w:bookmarkStart w:id="0" w:name="_GoBack"/>
      <w:bookmarkEnd w:id="0"/>
    </w:p>
    <w:p w:rsidR="00082759" w:rsidRDefault="0008275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Systém informácií z poľnohospodárskych trhov (AMIS) v čerstvej správe zo začiatku apríla predpokladá, že aj napriek poklesu produkcie sóje v Argentíne a rizikám vyplývajúcim z potenciálnych sporov medzi Čínou a USA, bohatá úroda v Brazílii by mala prispieť k všeobecne dostatočnej ponuke sóje na niekoľko mesiacov. Predbežné odhady produkcie pšenice a kukurice predpokladajú o niečo nižšie čísla. Avšak rekordné zásoby týchto komodít zabezpečujú komfortné podmienky pre trh.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Prezident USA, Donald </w:t>
      </w:r>
      <w:proofErr w:type="spellStart"/>
      <w:r>
        <w:rPr>
          <w:rFonts w:ascii="Arial" w:hAnsi="Arial" w:cs="Arial"/>
        </w:rPr>
        <w:t>Trump</w:t>
      </w:r>
      <w:proofErr w:type="spellEnd"/>
      <w:r>
        <w:rPr>
          <w:rFonts w:ascii="Arial" w:hAnsi="Arial" w:cs="Arial"/>
        </w:rPr>
        <w:t>,</w:t>
      </w:r>
      <w:r w:rsidR="0061236E">
        <w:rPr>
          <w:rFonts w:ascii="Arial" w:hAnsi="Arial" w:cs="Arial"/>
        </w:rPr>
        <w:t xml:space="preserve"> svojimi krokmi</w:t>
      </w:r>
      <w:r>
        <w:rPr>
          <w:rFonts w:ascii="Arial" w:hAnsi="Arial" w:cs="Arial"/>
        </w:rPr>
        <w:t xml:space="preserve"> eskaluje napätie na </w:t>
      </w:r>
      <w:r w:rsidR="0061236E">
        <w:rPr>
          <w:rFonts w:ascii="Arial" w:hAnsi="Arial" w:cs="Arial"/>
        </w:rPr>
        <w:t xml:space="preserve">svetovom </w:t>
      </w:r>
      <w:r>
        <w:rPr>
          <w:rFonts w:ascii="Arial" w:hAnsi="Arial" w:cs="Arial"/>
        </w:rPr>
        <w:t xml:space="preserve">trhu a žiada o ďalšie ochranné opatrenia pre domácich farmárov. Požiadal vládu Spojených štátov, aby prijala plán, ktorý by chránil poľnohospodársku produkciu, keďže sa chystá uvaliť ďalšie clá na </w:t>
      </w:r>
      <w:r w:rsidR="0061236E">
        <w:rPr>
          <w:rFonts w:ascii="Arial" w:hAnsi="Arial" w:cs="Arial"/>
        </w:rPr>
        <w:t>dovoz čínskych</w:t>
      </w:r>
      <w:r w:rsidR="009E4D64">
        <w:rPr>
          <w:rFonts w:ascii="Arial" w:hAnsi="Arial" w:cs="Arial"/>
        </w:rPr>
        <w:t xml:space="preserve"> výrobkov</w:t>
      </w:r>
      <w:r>
        <w:rPr>
          <w:rFonts w:ascii="Arial" w:hAnsi="Arial" w:cs="Arial"/>
        </w:rPr>
        <w:t xml:space="preserve"> vo výške 100 mld. USD.</w:t>
      </w:r>
    </w:p>
    <w:p w:rsidR="00630279" w:rsidRDefault="00D47F82" w:rsidP="006817D0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Ministerstvo poľnohospodárstva USA, v porovnaní so správou spred mesiaca, opäť skresalo odhady produkcie kukurice a sóje v</w:t>
      </w:r>
      <w:r w:rsidR="00A07152">
        <w:rPr>
          <w:rFonts w:ascii="Arial" w:hAnsi="Arial" w:cs="Arial"/>
        </w:rPr>
        <w:t> </w:t>
      </w:r>
      <w:r>
        <w:rPr>
          <w:rFonts w:ascii="Arial" w:hAnsi="Arial" w:cs="Arial"/>
        </w:rPr>
        <w:t>Argentíne, kde stále prevláda nepriaznivé počasie. V Brazílii sú pre tieto dve plodiny zatiaľ rozporuplné predpovede.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7614A2">
        <w:rPr>
          <w:rFonts w:ascii="Arial" w:hAnsi="Arial" w:cs="Arial"/>
          <w:i/>
          <w:sz w:val="20"/>
          <w:szCs w:val="20"/>
        </w:rPr>
        <w:t>cmegroup.com</w:t>
      </w:r>
      <w:r w:rsidR="00235B7D">
        <w:rPr>
          <w:rFonts w:ascii="Arial" w:hAnsi="Arial" w:cs="Arial"/>
          <w:i/>
          <w:sz w:val="20"/>
          <w:szCs w:val="20"/>
        </w:rPr>
        <w:t>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 xml:space="preserve">; </w:t>
      </w:r>
      <w:r w:rsidR="00082759">
        <w:rPr>
          <w:rFonts w:ascii="Arial" w:hAnsi="Arial" w:cs="Arial"/>
          <w:i/>
          <w:sz w:val="20"/>
          <w:szCs w:val="20"/>
        </w:rPr>
        <w:t xml:space="preserve">amis-outlook.org; </w:t>
      </w:r>
      <w:r w:rsidRPr="003D7DAC">
        <w:rPr>
          <w:rFonts w:ascii="Arial" w:hAnsi="Arial" w:cs="Arial"/>
          <w:i/>
          <w:sz w:val="20"/>
          <w:szCs w:val="20"/>
        </w:rPr>
        <w:t>Eur</w:t>
      </w:r>
      <w:r w:rsidR="00064F2E">
        <w:rPr>
          <w:rFonts w:ascii="Arial" w:hAnsi="Arial" w:cs="Arial"/>
          <w:i/>
          <w:sz w:val="20"/>
          <w:szCs w:val="20"/>
        </w:rPr>
        <w:t>ópska Komisia;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3D8" w:rsidRDefault="003803D8" w:rsidP="00D467AA">
      <w:r>
        <w:separator/>
      </w:r>
    </w:p>
  </w:endnote>
  <w:endnote w:type="continuationSeparator" w:id="0">
    <w:p w:rsidR="003803D8" w:rsidRDefault="003803D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186">
          <w:rPr>
            <w:noProof/>
          </w:rPr>
          <w:t>2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3D8" w:rsidRDefault="003803D8" w:rsidP="00D467AA">
      <w:r>
        <w:separator/>
      </w:r>
    </w:p>
  </w:footnote>
  <w:footnote w:type="continuationSeparator" w:id="0">
    <w:p w:rsidR="003803D8" w:rsidRDefault="003803D8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2759"/>
    <w:rsid w:val="00085A75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7506"/>
    <w:rsid w:val="003943AA"/>
    <w:rsid w:val="003965A8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FE4"/>
    <w:rsid w:val="0059404A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844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16</cp:revision>
  <cp:lastPrinted>2014-11-19T10:00:00Z</cp:lastPrinted>
  <dcterms:created xsi:type="dcterms:W3CDTF">2018-04-09T07:33:00Z</dcterms:created>
  <dcterms:modified xsi:type="dcterms:W3CDTF">2018-04-09T09:01:00Z</dcterms:modified>
</cp:coreProperties>
</file>