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6FEE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B702A1">
        <w:rPr>
          <w:rFonts w:ascii="Arial" w:hAnsi="Arial" w:cs="Arial"/>
          <w:b/>
          <w:sz w:val="28"/>
          <w:szCs w:val="28"/>
        </w:rPr>
        <w:t>16</w:t>
      </w:r>
      <w:r w:rsidR="00ED3B35">
        <w:rPr>
          <w:rFonts w:ascii="Arial" w:hAnsi="Arial" w:cs="Arial"/>
          <w:b/>
          <w:sz w:val="28"/>
          <w:szCs w:val="28"/>
        </w:rPr>
        <w:t>.10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B0C85">
        <w:rPr>
          <w:rFonts w:ascii="Arial" w:hAnsi="Arial" w:cs="Arial"/>
          <w:b/>
          <w:smallCaps/>
        </w:rPr>
        <w:t> 16</w:t>
      </w:r>
      <w:r w:rsidR="00205221">
        <w:rPr>
          <w:rFonts w:ascii="Arial" w:hAnsi="Arial" w:cs="Arial"/>
          <w:b/>
          <w:smallCaps/>
        </w:rPr>
        <w:t>.10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F774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204,5</w:t>
            </w:r>
            <w:r w:rsidR="0020522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F774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166,41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F774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F774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  <w:r w:rsidR="00205221">
              <w:rPr>
                <w:rFonts w:ascii="Arial" w:hAnsi="Arial" w:cs="Arial"/>
              </w:rPr>
              <w:t>,25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F774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119,40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F774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F774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F7746">
        <w:rPr>
          <w:rFonts w:ascii="Arial" w:hAnsi="Arial" w:cs="Arial"/>
          <w:i/>
          <w:sz w:val="20"/>
          <w:szCs w:val="20"/>
        </w:rPr>
        <w:t xml:space="preserve"> 1,1581</w:t>
      </w:r>
      <w:r w:rsidR="00C0789B">
        <w:rPr>
          <w:rFonts w:ascii="Arial" w:hAnsi="Arial" w:cs="Arial"/>
          <w:i/>
          <w:sz w:val="20"/>
          <w:szCs w:val="20"/>
        </w:rPr>
        <w:t xml:space="preserve"> </w:t>
      </w:r>
      <w:r w:rsidR="000F774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205221">
        <w:rPr>
          <w:rFonts w:ascii="Arial" w:hAnsi="Arial" w:cs="Arial"/>
          <w:i/>
          <w:sz w:val="20"/>
          <w:szCs w:val="20"/>
        </w:rPr>
        <w:t>; EURO/HUF: 323,4</w:t>
      </w:r>
      <w:r w:rsidR="000F7746">
        <w:rPr>
          <w:rFonts w:ascii="Arial" w:hAnsi="Arial" w:cs="Arial"/>
          <w:i/>
          <w:sz w:val="20"/>
          <w:szCs w:val="20"/>
        </w:rPr>
        <w:t>5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F7746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21E49" w:rsidRDefault="00ED3B35" w:rsidP="00021E49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21E49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21E49" w:rsidTr="00021E49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16.októbru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21E49" w:rsidTr="00021E4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21E49" w:rsidTr="00021E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E49" w:rsidRDefault="00021E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21E49" w:rsidRDefault="00021E49" w:rsidP="00021E49">
      <w:pPr>
        <w:rPr>
          <w:rFonts w:ascii="Arial" w:hAnsi="Arial" w:cs="Arial"/>
        </w:rPr>
      </w:pPr>
    </w:p>
    <w:p w:rsidR="00021E49" w:rsidRDefault="00021E49" w:rsidP="00021E4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21E49" w:rsidRDefault="00021E49" w:rsidP="00021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021E49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B3115">
        <w:rPr>
          <w:rFonts w:ascii="Arial" w:hAnsi="Arial" w:cs="Arial"/>
          <w:b/>
          <w:smallCaps/>
        </w:rPr>
        <w:t>Slovensku k 41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B3115">
              <w:rPr>
                <w:rFonts w:ascii="Arial" w:hAnsi="Arial" w:cs="Arial"/>
              </w:rPr>
              <w:t>5 - 160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- 15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F1618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9B3115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B7672D" w:rsidRDefault="0007636C" w:rsidP="0007636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Napriek tomu, že ostatné odhady </w:t>
      </w:r>
      <w:r w:rsidR="004E2E0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inisterstva poľnohospodárstva Spojených štátov amerických (USDA) </w:t>
      </w:r>
      <w:r w:rsidR="004E2E0A">
        <w:rPr>
          <w:rFonts w:ascii="Arial" w:hAnsi="Arial" w:cs="Arial"/>
        </w:rPr>
        <w:t xml:space="preserve">naznačujú tesnejšie výsledky </w:t>
      </w:r>
      <w:r w:rsidR="004E2E0A">
        <w:rPr>
          <w:rFonts w:ascii="Arial" w:hAnsi="Arial" w:cs="Arial"/>
        </w:rPr>
        <w:t xml:space="preserve">svetovej produkcie </w:t>
      </w:r>
      <w:r w:rsidR="004E2E0A">
        <w:rPr>
          <w:rFonts w:ascii="Arial" w:hAnsi="Arial" w:cs="Arial"/>
        </w:rPr>
        <w:t xml:space="preserve">aj zásob </w:t>
      </w:r>
      <w:r w:rsidR="004E2E0A">
        <w:rPr>
          <w:rFonts w:ascii="Arial" w:hAnsi="Arial" w:cs="Arial"/>
        </w:rPr>
        <w:t>pšenice</w:t>
      </w:r>
      <w:r w:rsidR="004E2E0A">
        <w:rPr>
          <w:rFonts w:ascii="Arial" w:hAnsi="Arial" w:cs="Arial"/>
        </w:rPr>
        <w:t>, americkým, ani európskym obchodníkom sa zatiaľ nepodarilo oživiť vývozy tejto komodity. Na druhej strane predpoklad lepšej úrody kukurice v USA môže spôsobiť plávajúci efekt na vývozné ceny kukurice. Obchodníci teda opäť raz riešia klasickú dilemu, či „predať fámu a kúpiť realitu?“</w:t>
      </w:r>
    </w:p>
    <w:p w:rsidR="00501DCB" w:rsidRDefault="004E2E0A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aktuálneho októbrového monitoru AMIS (Systém informácií z agrárneho trhu) </w:t>
      </w:r>
      <w:r w:rsidR="0019722F">
        <w:rPr>
          <w:rFonts w:ascii="Arial" w:hAnsi="Arial" w:cs="Arial"/>
        </w:rPr>
        <w:t>sa mimoriadne zvýšené odhady produkcie sóje a kukurice v USA už odrazili na prudkom znížení cien</w:t>
      </w:r>
      <w:r w:rsidR="0019722F" w:rsidRPr="0019722F">
        <w:rPr>
          <w:rFonts w:ascii="Arial" w:hAnsi="Arial" w:cs="Arial"/>
        </w:rPr>
        <w:t xml:space="preserve"> </w:t>
      </w:r>
      <w:r w:rsidR="0019722F">
        <w:rPr>
          <w:rFonts w:ascii="Arial" w:hAnsi="Arial" w:cs="Arial"/>
        </w:rPr>
        <w:t>na svetovom trhu</w:t>
      </w:r>
      <w:r w:rsidR="0019722F">
        <w:rPr>
          <w:rFonts w:ascii="Arial" w:hAnsi="Arial" w:cs="Arial"/>
        </w:rPr>
        <w:t>, najmä u kukurice. Aj pšenica čelila miernemu poklesu ceny, aj keď kombinácia masívnej nákupnej aktivity, menších možností vývozu vysokokvalitnej pšenice a horších výhľadov na úrodu v Austrálii, jej poskytli určitú oporu.</w:t>
      </w:r>
    </w:p>
    <w:p w:rsidR="00475C5C" w:rsidRDefault="00475C5C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Odhady svetovej produkcie </w:t>
      </w:r>
      <w:r w:rsidRPr="001A454F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sa za ostatný mesiac (k 4.10. 2018) mierne znížili: FAO-AMIS predpokladá 722,4 mil. t, USDA 733,0 mil. t a IGC 716,7 mil. t. /</w:t>
      </w:r>
      <w:r w:rsidRPr="00475C5C">
        <w:rPr>
          <w:rFonts w:ascii="Arial" w:hAnsi="Arial" w:cs="Arial"/>
          <w:i/>
        </w:rPr>
        <w:t>pozn.</w:t>
      </w:r>
      <w:r>
        <w:rPr>
          <w:rFonts w:ascii="Arial" w:hAnsi="Arial" w:cs="Arial"/>
        </w:rPr>
        <w:t xml:space="preserve"> </w:t>
      </w:r>
      <w:r w:rsidRPr="00475C5C">
        <w:rPr>
          <w:rFonts w:ascii="Arial" w:hAnsi="Arial" w:cs="Arial"/>
          <w:i/>
        </w:rPr>
        <w:t>IGC – Medzinárodná rada pre obilniny</w:t>
      </w:r>
      <w:r>
        <w:rPr>
          <w:rFonts w:ascii="Arial" w:hAnsi="Arial" w:cs="Arial"/>
        </w:rPr>
        <w:t xml:space="preserve">/. </w:t>
      </w:r>
      <w:r w:rsidR="001A454F">
        <w:rPr>
          <w:rFonts w:ascii="Arial" w:hAnsi="Arial" w:cs="Arial"/>
        </w:rPr>
        <w:t>No svetové zásoby pšenice zostávajú na vysokej úrovni (od 249,8 mil. t do 261,3 mil. t), aj vďaka vyšším zásobám po inventúre v Austrálii a Ruskej federácii.</w:t>
      </w:r>
    </w:p>
    <w:p w:rsidR="001A454F" w:rsidRDefault="001A454F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Naopak, odhady produkcie </w:t>
      </w:r>
      <w:r w:rsidRPr="001A454F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vo svete sa zvýšili: FAO-AMIS predpokladá 1 066,4 mil. t, USDA 1 069,0 mil. t a IGC 1 074,3 mil. t. Spotreba zostala približne na rovnakej úrovni, no oproti predošlému roku vzrastie, najmä vďaka dopytu na kŕmenie zvierat. A aj napriek očakávaným vyšším vývozom (najmä z USA), zostávajú na vysokej úrovni aj konečné svetové zásoby kukurice (od 261,1 mil. t do 299,6 mil. t).</w:t>
      </w:r>
    </w:p>
    <w:p w:rsidR="005A5DF2" w:rsidRDefault="007B3C2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Vzrástli aj odhady svetovej produkcie </w:t>
      </w:r>
      <w:r w:rsidRPr="007765BC">
        <w:rPr>
          <w:rFonts w:ascii="Arial" w:hAnsi="Arial" w:cs="Arial"/>
          <w:b/>
        </w:rPr>
        <w:t>sóje</w:t>
      </w:r>
      <w:r>
        <w:rPr>
          <w:rFonts w:ascii="Arial" w:hAnsi="Arial" w:cs="Arial"/>
        </w:rPr>
        <w:t xml:space="preserve"> (okolo 370 mil. t), najmä vďaka bohatej úrode v USA a rekordnej úrode v Brazílii. </w:t>
      </w:r>
      <w:r w:rsidR="0070388A">
        <w:rPr>
          <w:rFonts w:ascii="Arial" w:hAnsi="Arial" w:cs="Arial"/>
        </w:rPr>
        <w:t xml:space="preserve">Na burze v Chicagu </w:t>
      </w:r>
      <w:r w:rsidR="00C35B02">
        <w:rPr>
          <w:rFonts w:ascii="Arial" w:hAnsi="Arial" w:cs="Arial"/>
        </w:rPr>
        <w:t>sa sójové bôby predávajú za</w:t>
      </w:r>
      <w:r w:rsidR="0070388A">
        <w:rPr>
          <w:rFonts w:ascii="Arial" w:hAnsi="Arial" w:cs="Arial"/>
        </w:rPr>
        <w:t> </w:t>
      </w:r>
      <w:r w:rsidR="00C35B02">
        <w:rPr>
          <w:rFonts w:ascii="Arial" w:hAnsi="Arial" w:cs="Arial"/>
        </w:rPr>
        <w:t>cenu</w:t>
      </w:r>
      <w:r w:rsidR="0070388A">
        <w:rPr>
          <w:rFonts w:ascii="Arial" w:hAnsi="Arial" w:cs="Arial"/>
        </w:rPr>
        <w:t xml:space="preserve"> 281,25 €/t.</w:t>
      </w:r>
      <w:bookmarkStart w:id="0" w:name="_GoBack"/>
      <w:bookmarkEnd w:id="0"/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F4496">
        <w:rPr>
          <w:rFonts w:ascii="Arial" w:hAnsi="Arial" w:cs="Arial"/>
          <w:i/>
          <w:sz w:val="20"/>
          <w:szCs w:val="20"/>
        </w:rPr>
        <w:t xml:space="preserve">; </w:t>
      </w:r>
      <w:r w:rsidR="004E2E0A">
        <w:rPr>
          <w:rFonts w:ascii="Arial" w:hAnsi="Arial" w:cs="Arial"/>
          <w:i/>
          <w:sz w:val="20"/>
          <w:szCs w:val="20"/>
        </w:rPr>
        <w:t xml:space="preserve">AMIS;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BC" w:rsidRDefault="00B54EBC" w:rsidP="00D467AA">
      <w:r>
        <w:separator/>
      </w:r>
    </w:p>
  </w:endnote>
  <w:endnote w:type="continuationSeparator" w:id="0">
    <w:p w:rsidR="00B54EBC" w:rsidRDefault="00B54EB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BC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BC" w:rsidRDefault="00B54EBC" w:rsidP="00D467AA">
      <w:r>
        <w:separator/>
      </w:r>
    </w:p>
  </w:footnote>
  <w:footnote w:type="continuationSeparator" w:id="0">
    <w:p w:rsidR="00B54EBC" w:rsidRDefault="00B54EB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9722F"/>
    <w:rsid w:val="001A454F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335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4EBC"/>
    <w:rsid w:val="00B55301"/>
    <w:rsid w:val="00B6160C"/>
    <w:rsid w:val="00B6290D"/>
    <w:rsid w:val="00B63844"/>
    <w:rsid w:val="00B63F9B"/>
    <w:rsid w:val="00B643AE"/>
    <w:rsid w:val="00B677A7"/>
    <w:rsid w:val="00B702A1"/>
    <w:rsid w:val="00B7214D"/>
    <w:rsid w:val="00B726F7"/>
    <w:rsid w:val="00B72B1C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5B02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2018-10-16T08:13:00Z</dcterms:created>
  <dcterms:modified xsi:type="dcterms:W3CDTF">2018-10-16T09:42:00Z</dcterms:modified>
</cp:coreProperties>
</file>