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BBD" w:rsidRPr="00B67A35" w:rsidRDefault="00CC4BBD" w:rsidP="00B67A35">
      <w:pPr>
        <w:spacing w:after="0" w:line="240" w:lineRule="auto"/>
        <w:rPr>
          <w:rFonts w:ascii="Arial" w:hAnsi="Arial" w:cs="Arial"/>
          <w:sz w:val="24"/>
          <w:szCs w:val="24"/>
        </w:rPr>
      </w:pPr>
    </w:p>
    <w:p w:rsidR="00972CC6" w:rsidRPr="00972CC6" w:rsidRDefault="00B67A35" w:rsidP="00972CC6">
      <w:pPr>
        <w:spacing w:after="0" w:line="240" w:lineRule="auto"/>
        <w:jc w:val="center"/>
        <w:rPr>
          <w:rFonts w:ascii="Arial" w:hAnsi="Arial" w:cs="Arial"/>
          <w:b/>
          <w:i/>
          <w:smallCaps/>
          <w:color w:val="FF0000"/>
          <w:sz w:val="24"/>
          <w:szCs w:val="24"/>
        </w:rPr>
      </w:pPr>
      <w:r w:rsidRPr="00972CC6">
        <w:rPr>
          <w:rFonts w:ascii="Arial" w:hAnsi="Arial" w:cs="Arial"/>
          <w:b/>
          <w:i/>
          <w:smallCaps/>
          <w:color w:val="FF0000"/>
          <w:sz w:val="24"/>
          <w:szCs w:val="24"/>
        </w:rPr>
        <w:t>Informačný s</w:t>
      </w:r>
      <w:r w:rsidR="00CC4BBD" w:rsidRPr="00972CC6">
        <w:rPr>
          <w:rFonts w:ascii="Arial" w:hAnsi="Arial" w:cs="Arial"/>
          <w:b/>
          <w:i/>
          <w:smallCaps/>
          <w:color w:val="FF0000"/>
          <w:sz w:val="24"/>
          <w:szCs w:val="24"/>
        </w:rPr>
        <w:t xml:space="preserve">eriál </w:t>
      </w:r>
      <w:r w:rsidR="00972CC6" w:rsidRPr="00972CC6">
        <w:rPr>
          <w:rFonts w:ascii="Arial" w:hAnsi="Arial" w:cs="Arial"/>
          <w:b/>
          <w:i/>
          <w:smallCaps/>
          <w:color w:val="FF0000"/>
          <w:sz w:val="24"/>
          <w:szCs w:val="24"/>
        </w:rPr>
        <w:t>Združenia pestovateľov obilnín</w:t>
      </w:r>
    </w:p>
    <w:p w:rsidR="004C0166" w:rsidRPr="00972CC6" w:rsidRDefault="00CC4BBD" w:rsidP="00972CC6">
      <w:pPr>
        <w:spacing w:after="0" w:line="240" w:lineRule="auto"/>
        <w:jc w:val="center"/>
        <w:rPr>
          <w:rFonts w:ascii="Arial" w:hAnsi="Arial" w:cs="Arial"/>
          <w:b/>
          <w:i/>
          <w:smallCaps/>
          <w:color w:val="FF0000"/>
          <w:sz w:val="24"/>
          <w:szCs w:val="24"/>
        </w:rPr>
      </w:pPr>
      <w:r w:rsidRPr="00972CC6">
        <w:rPr>
          <w:rFonts w:ascii="Arial" w:hAnsi="Arial" w:cs="Arial"/>
          <w:b/>
          <w:i/>
          <w:smallCaps/>
          <w:color w:val="FF0000"/>
          <w:sz w:val="24"/>
          <w:szCs w:val="24"/>
        </w:rPr>
        <w:t>o budúcej Spoločnej poľnohospodárskej politike EÚ na roky 2021-2027</w:t>
      </w:r>
    </w:p>
    <w:p w:rsidR="00B67A35" w:rsidRPr="009A3BA8" w:rsidRDefault="00B67A35" w:rsidP="00B67A35">
      <w:pPr>
        <w:spacing w:after="0" w:line="240" w:lineRule="auto"/>
        <w:rPr>
          <w:rFonts w:ascii="Arial" w:hAnsi="Arial" w:cs="Arial"/>
          <w:b/>
          <w:sz w:val="24"/>
          <w:szCs w:val="24"/>
        </w:rPr>
      </w:pPr>
    </w:p>
    <w:p w:rsidR="00972CC6" w:rsidRPr="00C126B2" w:rsidRDefault="00972CC6" w:rsidP="00C126B2">
      <w:pPr>
        <w:pStyle w:val="Odsekzoznamu"/>
        <w:numPr>
          <w:ilvl w:val="0"/>
          <w:numId w:val="26"/>
        </w:numPr>
        <w:spacing w:after="0" w:line="240" w:lineRule="auto"/>
        <w:jc w:val="center"/>
        <w:rPr>
          <w:rFonts w:ascii="Arial" w:hAnsi="Arial" w:cs="Arial"/>
          <w:b/>
          <w:sz w:val="28"/>
          <w:szCs w:val="28"/>
        </w:rPr>
      </w:pPr>
      <w:r w:rsidRPr="00C126B2">
        <w:rPr>
          <w:rFonts w:ascii="Arial" w:hAnsi="Arial" w:cs="Arial"/>
          <w:b/>
          <w:sz w:val="28"/>
          <w:szCs w:val="28"/>
        </w:rPr>
        <w:t>ČASŤ:</w:t>
      </w:r>
    </w:p>
    <w:p w:rsidR="001A23D9" w:rsidRPr="003C501D" w:rsidRDefault="00C126B2" w:rsidP="003C501D">
      <w:pPr>
        <w:spacing w:after="0" w:line="240" w:lineRule="auto"/>
        <w:ind w:left="360"/>
        <w:jc w:val="center"/>
        <w:rPr>
          <w:rFonts w:ascii="Arial" w:hAnsi="Arial" w:cs="Arial"/>
          <w:b/>
          <w:sz w:val="28"/>
          <w:szCs w:val="28"/>
        </w:rPr>
      </w:pPr>
      <w:r>
        <w:rPr>
          <w:rFonts w:ascii="Arial" w:hAnsi="Arial" w:cs="Arial"/>
          <w:b/>
          <w:sz w:val="28"/>
          <w:szCs w:val="28"/>
        </w:rPr>
        <w:t>Otvorené otázky a pojmy</w:t>
      </w:r>
    </w:p>
    <w:p w:rsidR="0010493C" w:rsidRDefault="0010493C" w:rsidP="00A06F3A">
      <w:pPr>
        <w:spacing w:after="0" w:line="240" w:lineRule="auto"/>
        <w:jc w:val="both"/>
        <w:rPr>
          <w:rFonts w:ascii="Arial" w:hAnsi="Arial" w:cs="Arial"/>
          <w:sz w:val="24"/>
          <w:szCs w:val="24"/>
        </w:rPr>
      </w:pPr>
    </w:p>
    <w:p w:rsidR="009045D6" w:rsidRPr="0010493C" w:rsidRDefault="009045D6" w:rsidP="00A06F3A">
      <w:pPr>
        <w:spacing w:after="0" w:line="240" w:lineRule="auto"/>
        <w:jc w:val="both"/>
        <w:rPr>
          <w:rFonts w:ascii="Arial" w:hAnsi="Arial" w:cs="Arial"/>
          <w:i/>
          <w:sz w:val="24"/>
          <w:szCs w:val="24"/>
          <w:u w:val="single"/>
        </w:rPr>
      </w:pPr>
    </w:p>
    <w:p w:rsidR="00C126B2" w:rsidRDefault="00A12214" w:rsidP="00A12214">
      <w:pPr>
        <w:spacing w:after="120" w:line="240" w:lineRule="auto"/>
        <w:jc w:val="both"/>
        <w:rPr>
          <w:rFonts w:ascii="Arial" w:hAnsi="Arial" w:cs="Arial"/>
          <w:sz w:val="24"/>
          <w:szCs w:val="24"/>
        </w:rPr>
      </w:pPr>
      <w:r>
        <w:rPr>
          <w:rFonts w:ascii="Arial" w:hAnsi="Arial" w:cs="Arial"/>
          <w:sz w:val="24"/>
          <w:szCs w:val="24"/>
        </w:rPr>
        <w:t xml:space="preserve">Po predchádzajúcej verejnej diskusii zverejnila v júni 2018 Európska Komisia prvé návrhy základných nariadení, ktoré by mali definovať princípy Spoločnej poľnohospodárskej politiky EÚ po roku 2021. Ku koncu roka 2019 však stále nie sú </w:t>
      </w:r>
      <w:r w:rsidR="008508B6">
        <w:rPr>
          <w:rFonts w:ascii="Arial" w:hAnsi="Arial" w:cs="Arial"/>
          <w:sz w:val="24"/>
          <w:szCs w:val="24"/>
        </w:rPr>
        <w:t xml:space="preserve">na úrovni európskych inštitúcií </w:t>
      </w:r>
      <w:r>
        <w:rPr>
          <w:rFonts w:ascii="Arial" w:hAnsi="Arial" w:cs="Arial"/>
          <w:sz w:val="24"/>
          <w:szCs w:val="24"/>
        </w:rPr>
        <w:t xml:space="preserve">ukončené </w:t>
      </w:r>
      <w:proofErr w:type="spellStart"/>
      <w:r>
        <w:rPr>
          <w:rFonts w:ascii="Arial" w:hAnsi="Arial" w:cs="Arial"/>
          <w:sz w:val="24"/>
          <w:szCs w:val="24"/>
        </w:rPr>
        <w:t>pripomienkovacie</w:t>
      </w:r>
      <w:proofErr w:type="spellEnd"/>
      <w:r>
        <w:rPr>
          <w:rFonts w:ascii="Arial" w:hAnsi="Arial" w:cs="Arial"/>
          <w:sz w:val="24"/>
          <w:szCs w:val="24"/>
        </w:rPr>
        <w:t xml:space="preserve"> procesy k týmto návrhom, a teda stále nemáme k dispozícii konečnú verziu legislatívy, ani viacročný finančný rámec.</w:t>
      </w:r>
    </w:p>
    <w:p w:rsidR="00A07B8E" w:rsidRDefault="00A12214" w:rsidP="00A12214">
      <w:pPr>
        <w:spacing w:after="120" w:line="240" w:lineRule="auto"/>
        <w:jc w:val="both"/>
        <w:rPr>
          <w:rFonts w:ascii="Arial" w:hAnsi="Arial" w:cs="Arial"/>
          <w:sz w:val="24"/>
          <w:szCs w:val="24"/>
        </w:rPr>
      </w:pPr>
      <w:r>
        <w:rPr>
          <w:rFonts w:ascii="Arial" w:hAnsi="Arial" w:cs="Arial"/>
          <w:sz w:val="24"/>
          <w:szCs w:val="24"/>
        </w:rPr>
        <w:t>Okrem iných zmien, najväčšie</w:t>
      </w:r>
      <w:r w:rsidR="008508B6">
        <w:rPr>
          <w:rFonts w:ascii="Arial" w:hAnsi="Arial" w:cs="Arial"/>
          <w:sz w:val="24"/>
          <w:szCs w:val="24"/>
        </w:rPr>
        <w:t xml:space="preserve"> polemiky vedú členské krajiny o</w:t>
      </w:r>
      <w:r>
        <w:rPr>
          <w:rFonts w:ascii="Arial" w:hAnsi="Arial" w:cs="Arial"/>
          <w:sz w:val="24"/>
          <w:szCs w:val="24"/>
        </w:rPr>
        <w:t> niekoľkých základných úpravách, ktoré zása</w:t>
      </w:r>
      <w:r w:rsidR="008508B6">
        <w:rPr>
          <w:rFonts w:ascii="Arial" w:hAnsi="Arial" w:cs="Arial"/>
          <w:sz w:val="24"/>
          <w:szCs w:val="24"/>
        </w:rPr>
        <w:t>dným spôsobom nasmerujú finančné podpory</w:t>
      </w:r>
      <w:r>
        <w:rPr>
          <w:rFonts w:ascii="Arial" w:hAnsi="Arial" w:cs="Arial"/>
          <w:sz w:val="24"/>
          <w:szCs w:val="24"/>
        </w:rPr>
        <w:t xml:space="preserve"> v poľnohospodárstve v nasledujúcom programovom období, teda ďalších sedem až desať rokov. Medzi najdiskutovanejšie patria pojmy</w:t>
      </w:r>
      <w:r w:rsidR="008508B6">
        <w:rPr>
          <w:rFonts w:ascii="Arial" w:hAnsi="Arial" w:cs="Arial"/>
          <w:sz w:val="24"/>
          <w:szCs w:val="24"/>
        </w:rPr>
        <w:t xml:space="preserve"> ako je</w:t>
      </w:r>
      <w:r>
        <w:rPr>
          <w:rFonts w:ascii="Arial" w:hAnsi="Arial" w:cs="Arial"/>
          <w:sz w:val="24"/>
          <w:szCs w:val="24"/>
        </w:rPr>
        <w:t xml:space="preserve"> „</w:t>
      </w:r>
      <w:proofErr w:type="spellStart"/>
      <w:r>
        <w:rPr>
          <w:rFonts w:ascii="Arial" w:hAnsi="Arial" w:cs="Arial"/>
          <w:sz w:val="24"/>
          <w:szCs w:val="24"/>
        </w:rPr>
        <w:t>stropovanie</w:t>
      </w:r>
      <w:proofErr w:type="spellEnd"/>
      <w:r>
        <w:rPr>
          <w:rFonts w:ascii="Arial" w:hAnsi="Arial" w:cs="Arial"/>
          <w:sz w:val="24"/>
          <w:szCs w:val="24"/>
        </w:rPr>
        <w:t xml:space="preserve">“, </w:t>
      </w:r>
      <w:r w:rsidR="007653A5">
        <w:rPr>
          <w:rFonts w:ascii="Arial" w:hAnsi="Arial" w:cs="Arial"/>
          <w:sz w:val="24"/>
          <w:szCs w:val="24"/>
        </w:rPr>
        <w:t xml:space="preserve">„komplementárna </w:t>
      </w:r>
      <w:proofErr w:type="spellStart"/>
      <w:r>
        <w:rPr>
          <w:rFonts w:ascii="Arial" w:hAnsi="Arial" w:cs="Arial"/>
          <w:sz w:val="24"/>
          <w:szCs w:val="24"/>
        </w:rPr>
        <w:t>redistribučná</w:t>
      </w:r>
      <w:proofErr w:type="spellEnd"/>
      <w:r>
        <w:rPr>
          <w:rFonts w:ascii="Arial" w:hAnsi="Arial" w:cs="Arial"/>
          <w:sz w:val="24"/>
          <w:szCs w:val="24"/>
        </w:rPr>
        <w:t xml:space="preserve"> platba</w:t>
      </w:r>
      <w:r w:rsidR="007653A5">
        <w:rPr>
          <w:rFonts w:ascii="Arial" w:hAnsi="Arial" w:cs="Arial"/>
          <w:sz w:val="24"/>
          <w:szCs w:val="24"/>
        </w:rPr>
        <w:t>“</w:t>
      </w:r>
      <w:r w:rsidR="004F37D9">
        <w:rPr>
          <w:rFonts w:ascii="Arial" w:hAnsi="Arial" w:cs="Arial"/>
          <w:sz w:val="24"/>
          <w:szCs w:val="24"/>
        </w:rPr>
        <w:t>, definícia „skutočné</w:t>
      </w:r>
      <w:r>
        <w:rPr>
          <w:rFonts w:ascii="Arial" w:hAnsi="Arial" w:cs="Arial"/>
          <w:sz w:val="24"/>
          <w:szCs w:val="24"/>
        </w:rPr>
        <w:t>ho farmár</w:t>
      </w:r>
      <w:r w:rsidR="00B62498">
        <w:rPr>
          <w:rFonts w:ascii="Arial" w:hAnsi="Arial" w:cs="Arial"/>
          <w:sz w:val="24"/>
          <w:szCs w:val="24"/>
        </w:rPr>
        <w:t>a“</w:t>
      </w:r>
      <w:r>
        <w:rPr>
          <w:rFonts w:ascii="Arial" w:hAnsi="Arial" w:cs="Arial"/>
          <w:sz w:val="24"/>
          <w:szCs w:val="24"/>
        </w:rPr>
        <w:t>,</w:t>
      </w:r>
      <w:r w:rsidR="00706ADD">
        <w:rPr>
          <w:rFonts w:ascii="Arial" w:hAnsi="Arial" w:cs="Arial"/>
          <w:sz w:val="24"/>
          <w:szCs w:val="24"/>
        </w:rPr>
        <w:t xml:space="preserve"> „viazané podpory“,</w:t>
      </w:r>
      <w:r>
        <w:rPr>
          <w:rFonts w:ascii="Arial" w:hAnsi="Arial" w:cs="Arial"/>
          <w:sz w:val="24"/>
          <w:szCs w:val="24"/>
        </w:rPr>
        <w:t xml:space="preserve"> či rýchlosť „externe</w:t>
      </w:r>
      <w:r w:rsidR="008508B6">
        <w:rPr>
          <w:rFonts w:ascii="Arial" w:hAnsi="Arial" w:cs="Arial"/>
          <w:sz w:val="24"/>
          <w:szCs w:val="24"/>
        </w:rPr>
        <w:t xml:space="preserve">j konvergencie“. Pokúsime sa teda </w:t>
      </w:r>
      <w:r>
        <w:rPr>
          <w:rFonts w:ascii="Arial" w:hAnsi="Arial" w:cs="Arial"/>
          <w:sz w:val="24"/>
          <w:szCs w:val="24"/>
        </w:rPr>
        <w:t xml:space="preserve">vysvetliť, o čo </w:t>
      </w:r>
      <w:r w:rsidR="00A07B8E">
        <w:rPr>
          <w:rFonts w:ascii="Arial" w:hAnsi="Arial" w:cs="Arial"/>
          <w:sz w:val="24"/>
          <w:szCs w:val="24"/>
        </w:rPr>
        <w:t>ide.</w:t>
      </w:r>
    </w:p>
    <w:p w:rsidR="008508B6" w:rsidRPr="008508B6" w:rsidRDefault="008508B6" w:rsidP="008508B6">
      <w:pPr>
        <w:pStyle w:val="Odsekzoznamu"/>
        <w:numPr>
          <w:ilvl w:val="0"/>
          <w:numId w:val="27"/>
        </w:numPr>
        <w:spacing w:after="120" w:line="240" w:lineRule="auto"/>
        <w:jc w:val="both"/>
        <w:rPr>
          <w:rFonts w:ascii="Arial" w:hAnsi="Arial" w:cs="Arial"/>
          <w:b/>
          <w:sz w:val="24"/>
          <w:szCs w:val="24"/>
        </w:rPr>
      </w:pPr>
      <w:proofErr w:type="spellStart"/>
      <w:r w:rsidRPr="008508B6">
        <w:rPr>
          <w:rFonts w:ascii="Arial" w:hAnsi="Arial" w:cs="Arial"/>
          <w:b/>
          <w:sz w:val="24"/>
          <w:szCs w:val="24"/>
        </w:rPr>
        <w:t>Stropovanie</w:t>
      </w:r>
      <w:proofErr w:type="spellEnd"/>
    </w:p>
    <w:p w:rsidR="00A12214" w:rsidRDefault="00A07B8E" w:rsidP="00A12214">
      <w:pPr>
        <w:spacing w:after="120" w:line="240" w:lineRule="auto"/>
        <w:jc w:val="both"/>
        <w:rPr>
          <w:rFonts w:ascii="Arial" w:hAnsi="Arial" w:cs="Arial"/>
          <w:sz w:val="24"/>
          <w:szCs w:val="24"/>
        </w:rPr>
      </w:pPr>
      <w:r>
        <w:rPr>
          <w:rFonts w:ascii="Arial" w:hAnsi="Arial" w:cs="Arial"/>
          <w:sz w:val="24"/>
          <w:szCs w:val="24"/>
        </w:rPr>
        <w:t>V predošlých častiach sme už hovorili o nevhodnej štruktúr</w:t>
      </w:r>
      <w:r w:rsidR="00B44984">
        <w:rPr>
          <w:rFonts w:ascii="Arial" w:hAnsi="Arial" w:cs="Arial"/>
          <w:sz w:val="24"/>
          <w:szCs w:val="24"/>
        </w:rPr>
        <w:t>e poľnohospodárstva u nás</w:t>
      </w:r>
      <w:r>
        <w:rPr>
          <w:rFonts w:ascii="Arial" w:hAnsi="Arial" w:cs="Arial"/>
          <w:sz w:val="24"/>
          <w:szCs w:val="24"/>
        </w:rPr>
        <w:t xml:space="preserve"> a o rozdelení balíka priamych plati</w:t>
      </w:r>
      <w:r w:rsidR="00B44984">
        <w:rPr>
          <w:rFonts w:ascii="Arial" w:hAnsi="Arial" w:cs="Arial"/>
          <w:sz w:val="24"/>
          <w:szCs w:val="24"/>
        </w:rPr>
        <w:t>eb medzi podniky, ktoré je na Slovensku</w:t>
      </w:r>
      <w:r>
        <w:rPr>
          <w:rFonts w:ascii="Arial" w:hAnsi="Arial" w:cs="Arial"/>
          <w:sz w:val="24"/>
          <w:szCs w:val="24"/>
        </w:rPr>
        <w:t xml:space="preserve"> a v Českej republike najviac koncentrované</w:t>
      </w:r>
      <w:r w:rsidR="00B44984">
        <w:rPr>
          <w:rFonts w:ascii="Arial" w:hAnsi="Arial" w:cs="Arial"/>
          <w:sz w:val="24"/>
          <w:szCs w:val="24"/>
        </w:rPr>
        <w:t xml:space="preserve"> (</w:t>
      </w:r>
      <w:r w:rsidR="00B44984" w:rsidRPr="00B44984">
        <w:rPr>
          <w:rFonts w:ascii="Arial" w:hAnsi="Arial" w:cs="Arial"/>
          <w:i/>
          <w:sz w:val="24"/>
          <w:szCs w:val="24"/>
        </w:rPr>
        <w:t>len asi 20% fariem – v počte cca 3600 – prijíma až 94% priamych platieb</w:t>
      </w:r>
      <w:r w:rsidR="00B44984">
        <w:rPr>
          <w:rFonts w:ascii="Arial" w:hAnsi="Arial" w:cs="Arial"/>
          <w:i/>
          <w:sz w:val="24"/>
          <w:szCs w:val="24"/>
        </w:rPr>
        <w:t>; IPP</w:t>
      </w:r>
      <w:r w:rsidR="00B44984">
        <w:rPr>
          <w:rFonts w:ascii="Arial" w:hAnsi="Arial" w:cs="Arial"/>
          <w:sz w:val="24"/>
          <w:szCs w:val="24"/>
        </w:rPr>
        <w:t>)</w:t>
      </w:r>
      <w:r>
        <w:rPr>
          <w:rFonts w:ascii="Arial" w:hAnsi="Arial" w:cs="Arial"/>
          <w:sz w:val="24"/>
          <w:szCs w:val="24"/>
        </w:rPr>
        <w:t xml:space="preserve">. </w:t>
      </w:r>
      <w:r w:rsidR="00916B5F">
        <w:rPr>
          <w:rFonts w:ascii="Arial" w:hAnsi="Arial" w:cs="Arial"/>
          <w:sz w:val="24"/>
          <w:szCs w:val="24"/>
        </w:rPr>
        <w:t>Sektor tak neprináša žiadané benefity, o ktoré predovšetkým ide Európskej úni</w:t>
      </w:r>
      <w:r w:rsidR="00B44984">
        <w:rPr>
          <w:rFonts w:ascii="Arial" w:hAnsi="Arial" w:cs="Arial"/>
          <w:sz w:val="24"/>
          <w:szCs w:val="24"/>
        </w:rPr>
        <w:t>i pri vynakladaní prostriedkov zo spoločného rozpočtu. No aj v rámci krajín EÚ-28 je vysoká koncentrácia podpôr</w:t>
      </w:r>
      <w:r w:rsidR="00903399">
        <w:rPr>
          <w:rFonts w:ascii="Arial" w:hAnsi="Arial" w:cs="Arial"/>
          <w:sz w:val="24"/>
          <w:szCs w:val="24"/>
        </w:rPr>
        <w:t xml:space="preserve">, keď </w:t>
      </w:r>
      <w:r w:rsidR="00B44984">
        <w:rPr>
          <w:rFonts w:ascii="Arial" w:hAnsi="Arial" w:cs="Arial"/>
          <w:sz w:val="24"/>
          <w:szCs w:val="24"/>
        </w:rPr>
        <w:t xml:space="preserve">priemerne 20% najväčších fariem poberá približne 82% priamych platieb. Zrejme aj táto skutočnosť primäla </w:t>
      </w:r>
      <w:r w:rsidR="00903399">
        <w:rPr>
          <w:rFonts w:ascii="Arial" w:hAnsi="Arial" w:cs="Arial"/>
          <w:sz w:val="24"/>
          <w:szCs w:val="24"/>
        </w:rPr>
        <w:t xml:space="preserve">Európsku Komisiu k návrhu obmedziť príjmy z priamych </w:t>
      </w:r>
      <w:r w:rsidR="007653A5">
        <w:rPr>
          <w:rFonts w:ascii="Arial" w:hAnsi="Arial" w:cs="Arial"/>
          <w:sz w:val="24"/>
          <w:szCs w:val="24"/>
        </w:rPr>
        <w:t>platieb na jednu farmu.</w:t>
      </w:r>
    </w:p>
    <w:p w:rsidR="00E56861" w:rsidRDefault="00E56861" w:rsidP="00A12214">
      <w:pPr>
        <w:spacing w:after="120" w:line="240" w:lineRule="auto"/>
        <w:jc w:val="both"/>
        <w:rPr>
          <w:rFonts w:ascii="Arial" w:hAnsi="Arial" w:cs="Arial"/>
          <w:sz w:val="24"/>
          <w:szCs w:val="24"/>
        </w:rPr>
      </w:pPr>
      <w:r>
        <w:rPr>
          <w:rFonts w:ascii="Arial" w:hAnsi="Arial" w:cs="Arial"/>
          <w:sz w:val="24"/>
          <w:szCs w:val="24"/>
        </w:rPr>
        <w:t xml:space="preserve">Podľa článku 15 </w:t>
      </w:r>
      <w:r w:rsidRPr="00E56861">
        <w:rPr>
          <w:rFonts w:ascii="Arial" w:hAnsi="Arial" w:cs="Arial"/>
          <w:color w:val="002060"/>
          <w:sz w:val="24"/>
          <w:szCs w:val="24"/>
        </w:rPr>
        <w:t xml:space="preserve">návrhu nariadenia </w:t>
      </w:r>
      <w:proofErr w:type="spellStart"/>
      <w:r w:rsidRPr="00E56861">
        <w:rPr>
          <w:rFonts w:ascii="Arial" w:hAnsi="Arial" w:cs="Arial"/>
          <w:color w:val="002060"/>
          <w:sz w:val="24"/>
          <w:szCs w:val="24"/>
        </w:rPr>
        <w:t>EPaRady</w:t>
      </w:r>
      <w:proofErr w:type="spellEnd"/>
      <w:r w:rsidRPr="00E56861">
        <w:rPr>
          <w:rFonts w:ascii="Arial" w:hAnsi="Arial" w:cs="Arial"/>
          <w:color w:val="002060"/>
          <w:sz w:val="24"/>
          <w:szCs w:val="24"/>
        </w:rPr>
        <w:t>, ktorým sa mení nariadenie č.1305/2013 a 1307/2013 a ktorým sa stanovujú pravidlá týkajúce sa strategických plánov</w:t>
      </w:r>
      <w:r>
        <w:rPr>
          <w:rFonts w:ascii="Arial" w:hAnsi="Arial" w:cs="Arial"/>
          <w:sz w:val="24"/>
          <w:szCs w:val="24"/>
        </w:rPr>
        <w:t xml:space="preserve">, bude </w:t>
      </w:r>
      <w:proofErr w:type="spellStart"/>
      <w:r>
        <w:rPr>
          <w:rFonts w:ascii="Arial" w:hAnsi="Arial" w:cs="Arial"/>
          <w:sz w:val="24"/>
          <w:szCs w:val="24"/>
        </w:rPr>
        <w:t>s</w:t>
      </w:r>
      <w:r w:rsidR="007653A5">
        <w:rPr>
          <w:rFonts w:ascii="Arial" w:hAnsi="Arial" w:cs="Arial"/>
          <w:sz w:val="24"/>
          <w:szCs w:val="24"/>
        </w:rPr>
        <w:t>tropovanie</w:t>
      </w:r>
      <w:proofErr w:type="spellEnd"/>
      <w:r w:rsidR="007653A5">
        <w:rPr>
          <w:rFonts w:ascii="Arial" w:hAnsi="Arial" w:cs="Arial"/>
          <w:sz w:val="24"/>
          <w:szCs w:val="24"/>
        </w:rPr>
        <w:t xml:space="preserve">, teda </w:t>
      </w:r>
      <w:r w:rsidR="007653A5" w:rsidRPr="006E662D">
        <w:rPr>
          <w:rFonts w:ascii="Arial" w:hAnsi="Arial" w:cs="Arial"/>
          <w:b/>
          <w:sz w:val="24"/>
          <w:szCs w:val="24"/>
        </w:rPr>
        <w:t>limit objemu priamych platieb na jednu farmu</w:t>
      </w:r>
      <w:r w:rsidR="007653A5">
        <w:rPr>
          <w:rFonts w:ascii="Arial" w:hAnsi="Arial" w:cs="Arial"/>
          <w:sz w:val="24"/>
          <w:szCs w:val="24"/>
        </w:rPr>
        <w:t>,</w:t>
      </w:r>
      <w:r>
        <w:rPr>
          <w:rFonts w:ascii="Arial" w:hAnsi="Arial" w:cs="Arial"/>
          <w:sz w:val="24"/>
          <w:szCs w:val="24"/>
        </w:rPr>
        <w:t xml:space="preserve"> </w:t>
      </w:r>
      <w:r w:rsidR="007653A5">
        <w:rPr>
          <w:rFonts w:ascii="Arial" w:hAnsi="Arial" w:cs="Arial"/>
          <w:sz w:val="24"/>
          <w:szCs w:val="24"/>
        </w:rPr>
        <w:t xml:space="preserve">v budúcom období </w:t>
      </w:r>
      <w:r w:rsidR="007653A5" w:rsidRPr="00E513E1">
        <w:rPr>
          <w:rFonts w:ascii="Arial" w:hAnsi="Arial" w:cs="Arial"/>
          <w:b/>
          <w:sz w:val="24"/>
          <w:szCs w:val="24"/>
        </w:rPr>
        <w:t>povinné</w:t>
      </w:r>
      <w:r w:rsidR="007653A5">
        <w:rPr>
          <w:rFonts w:ascii="Arial" w:hAnsi="Arial" w:cs="Arial"/>
          <w:sz w:val="24"/>
          <w:szCs w:val="24"/>
        </w:rPr>
        <w:t xml:space="preserve"> (</w:t>
      </w:r>
      <w:r w:rsidRPr="00E56861">
        <w:rPr>
          <w:rFonts w:ascii="Arial" w:hAnsi="Arial" w:cs="Arial"/>
          <w:i/>
          <w:sz w:val="24"/>
          <w:szCs w:val="24"/>
        </w:rPr>
        <w:t xml:space="preserve">pozn. </w:t>
      </w:r>
      <w:r w:rsidR="007653A5" w:rsidRPr="00E56861">
        <w:rPr>
          <w:rFonts w:ascii="Arial" w:hAnsi="Arial" w:cs="Arial"/>
          <w:i/>
          <w:sz w:val="24"/>
          <w:szCs w:val="24"/>
        </w:rPr>
        <w:t>dnes ho 9 členských krajín EÚ aplikuje dobrovoľne</w:t>
      </w:r>
      <w:r>
        <w:rPr>
          <w:rFonts w:ascii="Arial" w:hAnsi="Arial" w:cs="Arial"/>
          <w:sz w:val="24"/>
          <w:szCs w:val="24"/>
        </w:rPr>
        <w:t>). V návrhu je stanovené, že suma priamych platieb, ktoré sa majú poľnohospodárovi poskytnúť na daný kalendárny rok, bude znížená takto:</w:t>
      </w:r>
    </w:p>
    <w:p w:rsidR="00E56861" w:rsidRPr="00E831AB" w:rsidRDefault="00E56861" w:rsidP="00E831AB">
      <w:pPr>
        <w:pStyle w:val="Odsekzoznamu"/>
        <w:numPr>
          <w:ilvl w:val="0"/>
          <w:numId w:val="28"/>
        </w:numPr>
        <w:spacing w:after="120" w:line="240" w:lineRule="auto"/>
        <w:jc w:val="both"/>
        <w:rPr>
          <w:rFonts w:ascii="Arial" w:hAnsi="Arial" w:cs="Arial"/>
          <w:sz w:val="24"/>
          <w:szCs w:val="24"/>
        </w:rPr>
      </w:pPr>
      <w:r w:rsidRPr="00E831AB">
        <w:rPr>
          <w:rFonts w:ascii="Arial" w:hAnsi="Arial" w:cs="Arial"/>
          <w:sz w:val="24"/>
          <w:szCs w:val="24"/>
        </w:rPr>
        <w:t xml:space="preserve">minimálne 25% pri </w:t>
      </w:r>
      <w:proofErr w:type="spellStart"/>
      <w:r w:rsidRPr="00E831AB">
        <w:rPr>
          <w:rFonts w:ascii="Arial" w:hAnsi="Arial" w:cs="Arial"/>
          <w:sz w:val="24"/>
          <w:szCs w:val="24"/>
        </w:rPr>
        <w:t>tranži</w:t>
      </w:r>
      <w:proofErr w:type="spellEnd"/>
      <w:r w:rsidRPr="00E831AB">
        <w:rPr>
          <w:rFonts w:ascii="Arial" w:hAnsi="Arial" w:cs="Arial"/>
          <w:sz w:val="24"/>
          <w:szCs w:val="24"/>
        </w:rPr>
        <w:t xml:space="preserve"> 60 000 až 75 000 euro</w:t>
      </w:r>
    </w:p>
    <w:p w:rsidR="00E56861" w:rsidRPr="00E831AB" w:rsidRDefault="00E56861" w:rsidP="00E831AB">
      <w:pPr>
        <w:pStyle w:val="Odsekzoznamu"/>
        <w:numPr>
          <w:ilvl w:val="0"/>
          <w:numId w:val="28"/>
        </w:numPr>
        <w:spacing w:after="120" w:line="240" w:lineRule="auto"/>
        <w:jc w:val="both"/>
        <w:rPr>
          <w:rFonts w:ascii="Arial" w:hAnsi="Arial" w:cs="Arial"/>
          <w:sz w:val="24"/>
          <w:szCs w:val="24"/>
        </w:rPr>
      </w:pPr>
      <w:r w:rsidRPr="00E831AB">
        <w:rPr>
          <w:rFonts w:ascii="Arial" w:hAnsi="Arial" w:cs="Arial"/>
          <w:sz w:val="24"/>
          <w:szCs w:val="24"/>
        </w:rPr>
        <w:t xml:space="preserve">minimálne 50% pri </w:t>
      </w:r>
      <w:proofErr w:type="spellStart"/>
      <w:r w:rsidRPr="00E831AB">
        <w:rPr>
          <w:rFonts w:ascii="Arial" w:hAnsi="Arial" w:cs="Arial"/>
          <w:sz w:val="24"/>
          <w:szCs w:val="24"/>
        </w:rPr>
        <w:t>tranži</w:t>
      </w:r>
      <w:proofErr w:type="spellEnd"/>
      <w:r w:rsidRPr="00E831AB">
        <w:rPr>
          <w:rFonts w:ascii="Arial" w:hAnsi="Arial" w:cs="Arial"/>
          <w:sz w:val="24"/>
          <w:szCs w:val="24"/>
        </w:rPr>
        <w:t xml:space="preserve"> 75 000 až 90 000 euro</w:t>
      </w:r>
    </w:p>
    <w:p w:rsidR="00E56861" w:rsidRPr="00E831AB" w:rsidRDefault="00E56861" w:rsidP="00E831AB">
      <w:pPr>
        <w:pStyle w:val="Odsekzoznamu"/>
        <w:numPr>
          <w:ilvl w:val="0"/>
          <w:numId w:val="28"/>
        </w:numPr>
        <w:spacing w:after="120" w:line="240" w:lineRule="auto"/>
        <w:jc w:val="both"/>
        <w:rPr>
          <w:rFonts w:ascii="Arial" w:hAnsi="Arial" w:cs="Arial"/>
          <w:sz w:val="24"/>
          <w:szCs w:val="24"/>
        </w:rPr>
      </w:pPr>
      <w:r w:rsidRPr="00E831AB">
        <w:rPr>
          <w:rFonts w:ascii="Arial" w:hAnsi="Arial" w:cs="Arial"/>
          <w:sz w:val="24"/>
          <w:szCs w:val="24"/>
        </w:rPr>
        <w:t xml:space="preserve">minimálne 75% pri </w:t>
      </w:r>
      <w:proofErr w:type="spellStart"/>
      <w:r w:rsidRPr="00E831AB">
        <w:rPr>
          <w:rFonts w:ascii="Arial" w:hAnsi="Arial" w:cs="Arial"/>
          <w:sz w:val="24"/>
          <w:szCs w:val="24"/>
        </w:rPr>
        <w:t>tranži</w:t>
      </w:r>
      <w:proofErr w:type="spellEnd"/>
      <w:r w:rsidRPr="00E831AB">
        <w:rPr>
          <w:rFonts w:ascii="Arial" w:hAnsi="Arial" w:cs="Arial"/>
          <w:sz w:val="24"/>
          <w:szCs w:val="24"/>
        </w:rPr>
        <w:t xml:space="preserve"> 90 000 až 100 000 euro</w:t>
      </w:r>
    </w:p>
    <w:p w:rsidR="00E56861" w:rsidRPr="00E831AB" w:rsidRDefault="00E56861" w:rsidP="00E831AB">
      <w:pPr>
        <w:pStyle w:val="Odsekzoznamu"/>
        <w:numPr>
          <w:ilvl w:val="0"/>
          <w:numId w:val="28"/>
        </w:numPr>
        <w:spacing w:after="120" w:line="240" w:lineRule="auto"/>
        <w:jc w:val="both"/>
        <w:rPr>
          <w:rFonts w:ascii="Arial" w:hAnsi="Arial" w:cs="Arial"/>
          <w:sz w:val="24"/>
          <w:szCs w:val="24"/>
        </w:rPr>
      </w:pPr>
      <w:r w:rsidRPr="00E831AB">
        <w:rPr>
          <w:rFonts w:ascii="Arial" w:hAnsi="Arial" w:cs="Arial"/>
          <w:sz w:val="24"/>
          <w:szCs w:val="24"/>
        </w:rPr>
        <w:t>100% pri sume presahujúcej 100 000 euro.</w:t>
      </w:r>
    </w:p>
    <w:p w:rsidR="007653A5" w:rsidRDefault="00E831AB" w:rsidP="00A12214">
      <w:pPr>
        <w:spacing w:after="120" w:line="240" w:lineRule="auto"/>
        <w:jc w:val="both"/>
        <w:rPr>
          <w:rFonts w:ascii="Arial" w:hAnsi="Arial" w:cs="Arial"/>
          <w:sz w:val="24"/>
          <w:szCs w:val="24"/>
        </w:rPr>
      </w:pPr>
      <w:r>
        <w:rPr>
          <w:rFonts w:ascii="Arial" w:hAnsi="Arial" w:cs="Arial"/>
          <w:sz w:val="24"/>
          <w:szCs w:val="24"/>
        </w:rPr>
        <w:t>Predtým, kým sa uplatní toto znižovanie, môže členský štát od sumy priamych platieb odpočítať mzdy súvisiace s poľnohospodárskou činnosťou, vrátane daní a sociálnych príspevkov (</w:t>
      </w:r>
      <w:r w:rsidRPr="00E831AB">
        <w:rPr>
          <w:rFonts w:ascii="Arial" w:hAnsi="Arial" w:cs="Arial"/>
          <w:i/>
          <w:sz w:val="24"/>
          <w:szCs w:val="24"/>
        </w:rPr>
        <w:t xml:space="preserve">pozn. nateraz sa majú používať priemerné štandardné mzdy vynásobené počtom ročných </w:t>
      </w:r>
      <w:proofErr w:type="spellStart"/>
      <w:r w:rsidRPr="00E831AB">
        <w:rPr>
          <w:rFonts w:ascii="Arial" w:hAnsi="Arial" w:cs="Arial"/>
          <w:i/>
          <w:sz w:val="24"/>
          <w:szCs w:val="24"/>
        </w:rPr>
        <w:t>prac.jenotiek</w:t>
      </w:r>
      <w:proofErr w:type="spellEnd"/>
      <w:r>
        <w:rPr>
          <w:rFonts w:ascii="Arial" w:hAnsi="Arial" w:cs="Arial"/>
          <w:sz w:val="24"/>
          <w:szCs w:val="24"/>
        </w:rPr>
        <w:t>).</w:t>
      </w:r>
    </w:p>
    <w:p w:rsidR="001C0F31" w:rsidRDefault="001242BB" w:rsidP="00A12214">
      <w:pPr>
        <w:spacing w:after="120" w:line="240" w:lineRule="auto"/>
        <w:jc w:val="both"/>
        <w:rPr>
          <w:rFonts w:ascii="Arial" w:hAnsi="Arial" w:cs="Arial"/>
          <w:sz w:val="24"/>
          <w:szCs w:val="24"/>
        </w:rPr>
      </w:pPr>
      <w:r>
        <w:rPr>
          <w:rFonts w:ascii="Arial" w:hAnsi="Arial" w:cs="Arial"/>
          <w:sz w:val="24"/>
          <w:szCs w:val="24"/>
        </w:rPr>
        <w:t xml:space="preserve">Na svojom jarnom zasadaní </w:t>
      </w:r>
      <w:r w:rsidRPr="00450F82">
        <w:rPr>
          <w:rFonts w:ascii="Arial" w:hAnsi="Arial" w:cs="Arial"/>
          <w:sz w:val="24"/>
          <w:szCs w:val="24"/>
          <w:u w:val="single"/>
        </w:rPr>
        <w:t>Európsky Parlament vyjadril k tomuto článku stanovisko</w:t>
      </w:r>
      <w:r>
        <w:rPr>
          <w:rFonts w:ascii="Arial" w:hAnsi="Arial" w:cs="Arial"/>
          <w:sz w:val="24"/>
          <w:szCs w:val="24"/>
        </w:rPr>
        <w:t xml:space="preserve">, v ktorom navrhuje zrušiť postupné </w:t>
      </w:r>
      <w:proofErr w:type="spellStart"/>
      <w:r w:rsidR="006E662D">
        <w:rPr>
          <w:rFonts w:ascii="Arial" w:hAnsi="Arial" w:cs="Arial"/>
          <w:sz w:val="24"/>
          <w:szCs w:val="24"/>
        </w:rPr>
        <w:t>tranže</w:t>
      </w:r>
      <w:proofErr w:type="spellEnd"/>
      <w:r w:rsidR="006E662D">
        <w:rPr>
          <w:rFonts w:ascii="Arial" w:hAnsi="Arial" w:cs="Arial"/>
          <w:sz w:val="24"/>
          <w:szCs w:val="24"/>
        </w:rPr>
        <w:t xml:space="preserve"> </w:t>
      </w:r>
      <w:r>
        <w:rPr>
          <w:rFonts w:ascii="Arial" w:hAnsi="Arial" w:cs="Arial"/>
          <w:sz w:val="24"/>
          <w:szCs w:val="24"/>
        </w:rPr>
        <w:t>krátenia platby a</w:t>
      </w:r>
      <w:r w:rsidR="001C0F31">
        <w:rPr>
          <w:rFonts w:ascii="Arial" w:hAnsi="Arial" w:cs="Arial"/>
          <w:sz w:val="24"/>
          <w:szCs w:val="24"/>
        </w:rPr>
        <w:t xml:space="preserve"> </w:t>
      </w:r>
      <w:r>
        <w:rPr>
          <w:rFonts w:ascii="Arial" w:hAnsi="Arial" w:cs="Arial"/>
          <w:sz w:val="24"/>
          <w:szCs w:val="24"/>
        </w:rPr>
        <w:t xml:space="preserve">zaviesť </w:t>
      </w:r>
      <w:r w:rsidR="001C0F31">
        <w:rPr>
          <w:rFonts w:ascii="Arial" w:hAnsi="Arial" w:cs="Arial"/>
          <w:sz w:val="24"/>
          <w:szCs w:val="24"/>
        </w:rPr>
        <w:t xml:space="preserve">krátenie </w:t>
      </w:r>
      <w:r>
        <w:rPr>
          <w:rFonts w:ascii="Arial" w:hAnsi="Arial" w:cs="Arial"/>
          <w:sz w:val="24"/>
          <w:szCs w:val="24"/>
        </w:rPr>
        <w:t>iba</w:t>
      </w:r>
      <w:r w:rsidR="001C0F31">
        <w:rPr>
          <w:rFonts w:ascii="Arial" w:hAnsi="Arial" w:cs="Arial"/>
          <w:sz w:val="24"/>
          <w:szCs w:val="24"/>
        </w:rPr>
        <w:t xml:space="preserve"> pre</w:t>
      </w:r>
      <w:r>
        <w:rPr>
          <w:rFonts w:ascii="Arial" w:hAnsi="Arial" w:cs="Arial"/>
          <w:sz w:val="24"/>
          <w:szCs w:val="24"/>
        </w:rPr>
        <w:t xml:space="preserve"> jednu hranicu, a to 100 000 euro na </w:t>
      </w:r>
      <w:r w:rsidR="001C0F31">
        <w:rPr>
          <w:rFonts w:ascii="Arial" w:hAnsi="Arial" w:cs="Arial"/>
          <w:sz w:val="24"/>
          <w:szCs w:val="24"/>
        </w:rPr>
        <w:t>jednu farmu a rok. Taktiež navrhuje znížiť možnosť odpočtu mzdových nákladov iba na 50% platov, pričom musia členské štáty použiť skutočné mzdové náklady, alebo priemerný štandardný plat, spojený s </w:t>
      </w:r>
      <w:proofErr w:type="spellStart"/>
      <w:r w:rsidR="001C0F31">
        <w:rPr>
          <w:rFonts w:ascii="Arial" w:hAnsi="Arial" w:cs="Arial"/>
          <w:sz w:val="24"/>
          <w:szCs w:val="24"/>
        </w:rPr>
        <w:t>poľnoh</w:t>
      </w:r>
      <w:proofErr w:type="spellEnd"/>
      <w:r w:rsidR="001C0F31">
        <w:rPr>
          <w:rFonts w:ascii="Arial" w:hAnsi="Arial" w:cs="Arial"/>
          <w:sz w:val="24"/>
          <w:szCs w:val="24"/>
        </w:rPr>
        <w:t>. činnosťou.</w:t>
      </w:r>
      <w:r w:rsidR="0035199F">
        <w:rPr>
          <w:rFonts w:ascii="Arial" w:hAnsi="Arial" w:cs="Arial"/>
          <w:sz w:val="24"/>
          <w:szCs w:val="24"/>
        </w:rPr>
        <w:t xml:space="preserve"> EP tu tiež doplnilo odsek, ktorý má brániť umelému vytvoreniu podmienok pre vyhnutie sa efektom tohto článku (</w:t>
      </w:r>
      <w:proofErr w:type="spellStart"/>
      <w:r w:rsidR="0035199F">
        <w:rPr>
          <w:rFonts w:ascii="Arial" w:hAnsi="Arial" w:cs="Arial"/>
          <w:sz w:val="24"/>
          <w:szCs w:val="24"/>
        </w:rPr>
        <w:t>t.j</w:t>
      </w:r>
      <w:proofErr w:type="spellEnd"/>
      <w:r w:rsidR="0035199F">
        <w:rPr>
          <w:rFonts w:ascii="Arial" w:hAnsi="Arial" w:cs="Arial"/>
          <w:sz w:val="24"/>
          <w:szCs w:val="24"/>
        </w:rPr>
        <w:t xml:space="preserve">. rozdelenie veľkého podniku na menšie subjekty), resp. bude ho možné aplikovať na všetkých členov v rámci právnickej osoby, či skupiny právnických osôb, ktorí majú </w:t>
      </w:r>
      <w:r w:rsidR="00E513E1">
        <w:rPr>
          <w:rFonts w:ascii="Arial" w:hAnsi="Arial" w:cs="Arial"/>
          <w:sz w:val="24"/>
          <w:szCs w:val="24"/>
        </w:rPr>
        <w:t xml:space="preserve">rovnaké </w:t>
      </w:r>
      <w:r w:rsidR="0035199F">
        <w:rPr>
          <w:rFonts w:ascii="Arial" w:hAnsi="Arial" w:cs="Arial"/>
          <w:sz w:val="24"/>
          <w:szCs w:val="24"/>
        </w:rPr>
        <w:t xml:space="preserve">práva a povinnosti ako jednotliví farmári. </w:t>
      </w:r>
    </w:p>
    <w:p w:rsidR="0035668F" w:rsidRPr="00B62498" w:rsidRDefault="00770A46" w:rsidP="00B62498">
      <w:pPr>
        <w:spacing w:after="120" w:line="240" w:lineRule="auto"/>
        <w:jc w:val="both"/>
        <w:rPr>
          <w:rFonts w:ascii="Arial" w:hAnsi="Arial" w:cs="Arial"/>
          <w:i/>
          <w:sz w:val="24"/>
          <w:szCs w:val="24"/>
        </w:rPr>
      </w:pPr>
      <w:r w:rsidRPr="00B62498">
        <w:rPr>
          <w:rFonts w:ascii="Arial" w:hAnsi="Arial" w:cs="Arial"/>
          <w:i/>
          <w:sz w:val="24"/>
          <w:szCs w:val="24"/>
        </w:rPr>
        <w:t xml:space="preserve">Po </w:t>
      </w:r>
      <w:r w:rsidR="00E513E1" w:rsidRPr="00B62498">
        <w:rPr>
          <w:rFonts w:ascii="Arial" w:hAnsi="Arial" w:cs="Arial"/>
          <w:i/>
          <w:sz w:val="24"/>
          <w:szCs w:val="24"/>
        </w:rPr>
        <w:t xml:space="preserve">ostatných </w:t>
      </w:r>
      <w:r w:rsidRPr="00B62498">
        <w:rPr>
          <w:rFonts w:ascii="Arial" w:hAnsi="Arial" w:cs="Arial"/>
          <w:i/>
          <w:sz w:val="24"/>
          <w:szCs w:val="24"/>
        </w:rPr>
        <w:t xml:space="preserve">voľbách do Európskeho Parlamentu (máj 2019) sa však </w:t>
      </w:r>
      <w:r w:rsidR="00E513E1" w:rsidRPr="00B62498">
        <w:rPr>
          <w:rFonts w:ascii="Arial" w:hAnsi="Arial" w:cs="Arial"/>
          <w:i/>
          <w:sz w:val="24"/>
          <w:szCs w:val="24"/>
        </w:rPr>
        <w:t xml:space="preserve">jeho </w:t>
      </w:r>
      <w:r w:rsidRPr="00B62498">
        <w:rPr>
          <w:rFonts w:ascii="Arial" w:hAnsi="Arial" w:cs="Arial"/>
          <w:i/>
          <w:sz w:val="24"/>
          <w:szCs w:val="24"/>
        </w:rPr>
        <w:t>obsadenie zmenilo, najmä v prospech „zelených“ politických frakcií, a tak je možné, že sa ešte do polovice roku 2020 dočkáme ďalších zmien a</w:t>
      </w:r>
      <w:r w:rsidR="00E513E1" w:rsidRPr="00B62498">
        <w:rPr>
          <w:rFonts w:ascii="Arial" w:hAnsi="Arial" w:cs="Arial"/>
          <w:i/>
          <w:sz w:val="24"/>
          <w:szCs w:val="24"/>
        </w:rPr>
        <w:t xml:space="preserve"> návrhov </w:t>
      </w:r>
      <w:r w:rsidRPr="00B62498">
        <w:rPr>
          <w:rFonts w:ascii="Arial" w:hAnsi="Arial" w:cs="Arial"/>
          <w:i/>
          <w:sz w:val="24"/>
          <w:szCs w:val="24"/>
        </w:rPr>
        <w:t>úprav pôvodných leg</w:t>
      </w:r>
      <w:r w:rsidR="0035668F" w:rsidRPr="00B62498">
        <w:rPr>
          <w:rFonts w:ascii="Arial" w:hAnsi="Arial" w:cs="Arial"/>
          <w:i/>
          <w:sz w:val="24"/>
          <w:szCs w:val="24"/>
        </w:rPr>
        <w:t>islatívnych návrhov</w:t>
      </w:r>
      <w:r w:rsidR="00B4177F" w:rsidRPr="00B62498">
        <w:rPr>
          <w:rFonts w:ascii="Arial" w:hAnsi="Arial" w:cs="Arial"/>
          <w:i/>
          <w:sz w:val="24"/>
          <w:szCs w:val="24"/>
        </w:rPr>
        <w:t xml:space="preserve"> Komisie.</w:t>
      </w:r>
    </w:p>
    <w:p w:rsidR="00D73CBA" w:rsidRDefault="00AE7DEF" w:rsidP="00661920">
      <w:pPr>
        <w:spacing w:after="120" w:line="240" w:lineRule="auto"/>
        <w:jc w:val="both"/>
        <w:rPr>
          <w:rFonts w:ascii="Arial" w:hAnsi="Arial" w:cs="Arial"/>
          <w:sz w:val="24"/>
          <w:szCs w:val="24"/>
        </w:rPr>
      </w:pPr>
      <w:r>
        <w:rPr>
          <w:rFonts w:ascii="Arial" w:hAnsi="Arial" w:cs="Arial"/>
          <w:sz w:val="24"/>
          <w:szCs w:val="24"/>
        </w:rPr>
        <w:lastRenderedPageBreak/>
        <w:t xml:space="preserve">Na Slovensku sa </w:t>
      </w:r>
      <w:proofErr w:type="spellStart"/>
      <w:r>
        <w:rPr>
          <w:rFonts w:ascii="Arial" w:hAnsi="Arial" w:cs="Arial"/>
          <w:sz w:val="24"/>
          <w:szCs w:val="24"/>
        </w:rPr>
        <w:t>stropovanie</w:t>
      </w:r>
      <w:proofErr w:type="spellEnd"/>
      <w:r>
        <w:rPr>
          <w:rFonts w:ascii="Arial" w:hAnsi="Arial" w:cs="Arial"/>
          <w:sz w:val="24"/>
          <w:szCs w:val="24"/>
        </w:rPr>
        <w:t xml:space="preserve"> dotkne hlavne veľkých fariem, ktoré majú nízku produkciu na hektár a nízku zamestnanosť.</w:t>
      </w:r>
      <w:r w:rsidR="00D73CBA">
        <w:rPr>
          <w:rFonts w:ascii="Arial" w:hAnsi="Arial" w:cs="Arial"/>
          <w:sz w:val="24"/>
          <w:szCs w:val="24"/>
        </w:rPr>
        <w:t xml:space="preserve"> Podľa návrhu </w:t>
      </w:r>
      <w:r w:rsidR="00661920" w:rsidRPr="00D73CBA">
        <w:rPr>
          <w:rFonts w:ascii="Arial" w:hAnsi="Arial" w:cs="Arial"/>
          <w:sz w:val="24"/>
          <w:szCs w:val="24"/>
          <w:u w:val="single"/>
        </w:rPr>
        <w:t>analytickej štúdie „Intervenčná stratégia“ pre tvorbu strategického plánu SPP na roky 2021-2027</w:t>
      </w:r>
      <w:r w:rsidR="00491896">
        <w:rPr>
          <w:rFonts w:ascii="Arial" w:hAnsi="Arial" w:cs="Arial"/>
          <w:sz w:val="24"/>
          <w:szCs w:val="24"/>
        </w:rPr>
        <w:t>*</w:t>
      </w:r>
      <w:r w:rsidR="00661920">
        <w:rPr>
          <w:rFonts w:ascii="Arial" w:hAnsi="Arial" w:cs="Arial"/>
          <w:sz w:val="24"/>
          <w:szCs w:val="24"/>
        </w:rPr>
        <w:t>, ktorú aktuálne (11.12.2019) predložilo na pripomienkovanie</w:t>
      </w:r>
      <w:r w:rsidR="006E662D">
        <w:rPr>
          <w:rFonts w:ascii="Arial" w:hAnsi="Arial" w:cs="Arial"/>
          <w:sz w:val="24"/>
          <w:szCs w:val="24"/>
        </w:rPr>
        <w:t xml:space="preserve"> odbornej verejnosti</w:t>
      </w:r>
      <w:r w:rsidR="00661920">
        <w:rPr>
          <w:rFonts w:ascii="Arial" w:hAnsi="Arial" w:cs="Arial"/>
          <w:sz w:val="24"/>
          <w:szCs w:val="24"/>
        </w:rPr>
        <w:t xml:space="preserve"> MPRV SR (</w:t>
      </w:r>
      <w:r w:rsidR="00661920" w:rsidRPr="00661920">
        <w:rPr>
          <w:rFonts w:ascii="Arial" w:hAnsi="Arial" w:cs="Arial"/>
          <w:i/>
          <w:sz w:val="24"/>
          <w:szCs w:val="24"/>
        </w:rPr>
        <w:t>ďalej len „</w:t>
      </w:r>
      <w:r w:rsidR="00661920">
        <w:rPr>
          <w:rFonts w:ascii="Arial" w:hAnsi="Arial" w:cs="Arial"/>
          <w:i/>
          <w:sz w:val="24"/>
          <w:szCs w:val="24"/>
        </w:rPr>
        <w:t xml:space="preserve">Intervenčná </w:t>
      </w:r>
      <w:r w:rsidR="00661920" w:rsidRPr="00661920">
        <w:rPr>
          <w:rFonts w:ascii="Arial" w:hAnsi="Arial" w:cs="Arial"/>
          <w:i/>
          <w:sz w:val="24"/>
          <w:szCs w:val="24"/>
        </w:rPr>
        <w:t>stratégia“</w:t>
      </w:r>
      <w:r w:rsidR="00661920">
        <w:rPr>
          <w:rFonts w:ascii="Arial" w:hAnsi="Arial" w:cs="Arial"/>
          <w:sz w:val="24"/>
          <w:szCs w:val="24"/>
        </w:rPr>
        <w:t xml:space="preserve">), bude </w:t>
      </w:r>
      <w:proofErr w:type="spellStart"/>
      <w:r w:rsidR="00661920">
        <w:rPr>
          <w:rFonts w:ascii="Arial" w:hAnsi="Arial" w:cs="Arial"/>
          <w:sz w:val="24"/>
          <w:szCs w:val="24"/>
        </w:rPr>
        <w:t>stropovaná</w:t>
      </w:r>
      <w:proofErr w:type="spellEnd"/>
      <w:r w:rsidR="00661920">
        <w:rPr>
          <w:rFonts w:ascii="Arial" w:hAnsi="Arial" w:cs="Arial"/>
          <w:sz w:val="24"/>
          <w:szCs w:val="24"/>
        </w:rPr>
        <w:t xml:space="preserve"> suma na úrovni </w:t>
      </w:r>
      <w:r w:rsidR="00661920" w:rsidRPr="0094453F">
        <w:rPr>
          <w:rFonts w:ascii="Arial" w:hAnsi="Arial" w:cs="Arial"/>
          <w:sz w:val="24"/>
          <w:szCs w:val="24"/>
        </w:rPr>
        <w:t xml:space="preserve">105 mil. euro </w:t>
      </w:r>
      <w:r w:rsidR="0094453F" w:rsidRPr="0094453F">
        <w:rPr>
          <w:rFonts w:ascii="Arial" w:hAnsi="Arial" w:cs="Arial"/>
          <w:sz w:val="24"/>
          <w:szCs w:val="24"/>
        </w:rPr>
        <w:t xml:space="preserve">za 7 rokov </w:t>
      </w:r>
      <w:r w:rsidR="00661920" w:rsidRPr="0094453F">
        <w:rPr>
          <w:rFonts w:ascii="Arial" w:hAnsi="Arial" w:cs="Arial"/>
          <w:sz w:val="24"/>
          <w:szCs w:val="24"/>
        </w:rPr>
        <w:t>presunutá do II. piliera (</w:t>
      </w:r>
      <w:proofErr w:type="spellStart"/>
      <w:r w:rsidR="00661920" w:rsidRPr="0094453F">
        <w:rPr>
          <w:rFonts w:ascii="Arial" w:hAnsi="Arial" w:cs="Arial"/>
          <w:sz w:val="24"/>
          <w:szCs w:val="24"/>
        </w:rPr>
        <w:t>t.j</w:t>
      </w:r>
      <w:proofErr w:type="spellEnd"/>
      <w:r w:rsidR="00661920" w:rsidRPr="0094453F">
        <w:rPr>
          <w:rFonts w:ascii="Arial" w:hAnsi="Arial" w:cs="Arial"/>
          <w:sz w:val="24"/>
          <w:szCs w:val="24"/>
        </w:rPr>
        <w:t>. PRV) na investície</w:t>
      </w:r>
      <w:r w:rsidR="0094453F" w:rsidRPr="0094453F">
        <w:rPr>
          <w:rFonts w:ascii="Arial" w:hAnsi="Arial" w:cs="Arial"/>
          <w:sz w:val="24"/>
          <w:szCs w:val="24"/>
        </w:rPr>
        <w:t xml:space="preserve"> (</w:t>
      </w:r>
      <w:proofErr w:type="spellStart"/>
      <w:r w:rsidR="00D73CBA">
        <w:rPr>
          <w:rFonts w:ascii="Arial" w:hAnsi="Arial" w:cs="Arial"/>
          <w:sz w:val="24"/>
          <w:szCs w:val="24"/>
        </w:rPr>
        <w:t>t.j</w:t>
      </w:r>
      <w:proofErr w:type="spellEnd"/>
      <w:r w:rsidR="00D73CBA">
        <w:rPr>
          <w:rFonts w:ascii="Arial" w:hAnsi="Arial" w:cs="Arial"/>
          <w:sz w:val="24"/>
          <w:szCs w:val="24"/>
        </w:rPr>
        <w:t xml:space="preserve">. </w:t>
      </w:r>
      <w:r w:rsidR="0094453F" w:rsidRPr="0094453F">
        <w:rPr>
          <w:rFonts w:ascii="Arial" w:hAnsi="Arial" w:cs="Arial"/>
          <w:sz w:val="24"/>
          <w:szCs w:val="24"/>
        </w:rPr>
        <w:t xml:space="preserve">podpora konkurencieschopnosti, </w:t>
      </w:r>
      <w:proofErr w:type="spellStart"/>
      <w:r w:rsidR="0094453F" w:rsidRPr="0094453F">
        <w:rPr>
          <w:rFonts w:ascii="Arial" w:hAnsi="Arial" w:cs="Arial"/>
          <w:sz w:val="24"/>
          <w:szCs w:val="24"/>
        </w:rPr>
        <w:t>hydromeliorácie</w:t>
      </w:r>
      <w:proofErr w:type="spellEnd"/>
      <w:r w:rsidR="0094453F" w:rsidRPr="0094453F">
        <w:rPr>
          <w:rFonts w:ascii="Arial" w:hAnsi="Arial" w:cs="Arial"/>
          <w:sz w:val="24"/>
          <w:szCs w:val="24"/>
        </w:rPr>
        <w:t>, závlahy...)</w:t>
      </w:r>
      <w:r w:rsidR="00661920" w:rsidRPr="0094453F">
        <w:rPr>
          <w:rFonts w:ascii="Arial" w:hAnsi="Arial" w:cs="Arial"/>
          <w:sz w:val="24"/>
          <w:szCs w:val="24"/>
        </w:rPr>
        <w:t>, kde bude vďaka 40%-</w:t>
      </w:r>
      <w:proofErr w:type="spellStart"/>
      <w:r w:rsidR="00661920" w:rsidRPr="0094453F">
        <w:rPr>
          <w:rFonts w:ascii="Arial" w:hAnsi="Arial" w:cs="Arial"/>
          <w:sz w:val="24"/>
          <w:szCs w:val="24"/>
        </w:rPr>
        <w:t>nému</w:t>
      </w:r>
      <w:proofErr w:type="spellEnd"/>
      <w:r w:rsidR="00661920" w:rsidRPr="0094453F">
        <w:rPr>
          <w:rFonts w:ascii="Arial" w:hAnsi="Arial" w:cs="Arial"/>
          <w:sz w:val="24"/>
          <w:szCs w:val="24"/>
        </w:rPr>
        <w:t xml:space="preserve"> národnému spolufinancovaniu navýšená na 175 mil. euro na 7 rokov.</w:t>
      </w:r>
    </w:p>
    <w:p w:rsidR="00DD6632" w:rsidRPr="00DD6632" w:rsidRDefault="00DD6632" w:rsidP="00661920">
      <w:pPr>
        <w:spacing w:after="120" w:line="240" w:lineRule="auto"/>
        <w:jc w:val="both"/>
        <w:rPr>
          <w:rFonts w:ascii="Arial" w:hAnsi="Arial" w:cs="Arial"/>
          <w:i/>
          <w:sz w:val="24"/>
          <w:szCs w:val="24"/>
        </w:rPr>
      </w:pPr>
      <w:r w:rsidRPr="00706ADD">
        <w:rPr>
          <w:rFonts w:ascii="Arial" w:hAnsi="Arial" w:cs="Arial"/>
          <w:sz w:val="24"/>
          <w:szCs w:val="24"/>
          <w:u w:val="single"/>
        </w:rPr>
        <w:t>Riadne predbežné stanovisko Slovenskej republiky</w:t>
      </w:r>
      <w:r>
        <w:rPr>
          <w:rFonts w:ascii="Arial" w:hAnsi="Arial" w:cs="Arial"/>
          <w:sz w:val="24"/>
          <w:szCs w:val="24"/>
        </w:rPr>
        <w:t xml:space="preserve"> k tomuto bodu je trvanie na </w:t>
      </w:r>
      <w:r w:rsidRPr="00770A46">
        <w:rPr>
          <w:rFonts w:ascii="Arial" w:hAnsi="Arial" w:cs="Arial"/>
          <w:b/>
          <w:sz w:val="24"/>
          <w:szCs w:val="24"/>
        </w:rPr>
        <w:t xml:space="preserve">dobrovoľnom </w:t>
      </w:r>
      <w:proofErr w:type="spellStart"/>
      <w:r w:rsidRPr="00770A46">
        <w:rPr>
          <w:rFonts w:ascii="Arial" w:hAnsi="Arial" w:cs="Arial"/>
          <w:b/>
          <w:sz w:val="24"/>
          <w:szCs w:val="24"/>
        </w:rPr>
        <w:t>stropovaní</w:t>
      </w:r>
      <w:proofErr w:type="spellEnd"/>
      <w:r>
        <w:rPr>
          <w:rFonts w:ascii="Arial" w:hAnsi="Arial" w:cs="Arial"/>
          <w:sz w:val="24"/>
          <w:szCs w:val="24"/>
        </w:rPr>
        <w:t xml:space="preserve"> (aby si každá členská krajina mohla zvoliť či a na akej úrovni bude </w:t>
      </w:r>
      <w:proofErr w:type="spellStart"/>
      <w:r>
        <w:rPr>
          <w:rFonts w:ascii="Arial" w:hAnsi="Arial" w:cs="Arial"/>
          <w:sz w:val="24"/>
          <w:szCs w:val="24"/>
        </w:rPr>
        <w:t>stropovať</w:t>
      </w:r>
      <w:proofErr w:type="spellEnd"/>
      <w:r>
        <w:rPr>
          <w:rFonts w:ascii="Arial" w:hAnsi="Arial" w:cs="Arial"/>
          <w:sz w:val="24"/>
          <w:szCs w:val="24"/>
        </w:rPr>
        <w:t xml:space="preserve"> priame platby); a </w:t>
      </w:r>
      <w:r w:rsidRPr="00770A46">
        <w:rPr>
          <w:rFonts w:ascii="Arial" w:hAnsi="Arial" w:cs="Arial"/>
          <w:b/>
          <w:sz w:val="24"/>
          <w:szCs w:val="24"/>
        </w:rPr>
        <w:t xml:space="preserve">vylúčenie </w:t>
      </w:r>
      <w:proofErr w:type="spellStart"/>
      <w:r w:rsidRPr="00770A46">
        <w:rPr>
          <w:rFonts w:ascii="Arial" w:hAnsi="Arial" w:cs="Arial"/>
          <w:b/>
          <w:sz w:val="24"/>
          <w:szCs w:val="24"/>
        </w:rPr>
        <w:t>ekoschém</w:t>
      </w:r>
      <w:proofErr w:type="spellEnd"/>
      <w:r>
        <w:rPr>
          <w:rFonts w:ascii="Arial" w:hAnsi="Arial" w:cs="Arial"/>
          <w:sz w:val="24"/>
          <w:szCs w:val="24"/>
        </w:rPr>
        <w:t xml:space="preserve"> z povinnosti </w:t>
      </w:r>
      <w:proofErr w:type="spellStart"/>
      <w:r>
        <w:rPr>
          <w:rFonts w:ascii="Arial" w:hAnsi="Arial" w:cs="Arial"/>
          <w:sz w:val="24"/>
          <w:szCs w:val="24"/>
        </w:rPr>
        <w:t>stropovania</w:t>
      </w:r>
      <w:proofErr w:type="spellEnd"/>
      <w:r>
        <w:rPr>
          <w:rFonts w:ascii="Arial" w:hAnsi="Arial" w:cs="Arial"/>
          <w:sz w:val="24"/>
          <w:szCs w:val="24"/>
        </w:rPr>
        <w:t xml:space="preserve"> (</w:t>
      </w:r>
      <w:r w:rsidRPr="00AE7DEF">
        <w:rPr>
          <w:rFonts w:ascii="Arial" w:hAnsi="Arial" w:cs="Arial"/>
          <w:i/>
          <w:sz w:val="24"/>
          <w:szCs w:val="24"/>
        </w:rPr>
        <w:t>pozn. taktiež bude potrebné</w:t>
      </w:r>
      <w:r>
        <w:rPr>
          <w:rFonts w:ascii="Arial" w:hAnsi="Arial" w:cs="Arial"/>
          <w:i/>
          <w:sz w:val="24"/>
          <w:szCs w:val="24"/>
        </w:rPr>
        <w:t xml:space="preserve"> na úrovni európskych inštitúcií</w:t>
      </w:r>
      <w:r w:rsidRPr="00AE7DEF">
        <w:rPr>
          <w:rFonts w:ascii="Arial" w:hAnsi="Arial" w:cs="Arial"/>
          <w:i/>
          <w:sz w:val="24"/>
          <w:szCs w:val="24"/>
        </w:rPr>
        <w:t xml:space="preserve"> rokovať o</w:t>
      </w:r>
      <w:r>
        <w:rPr>
          <w:rFonts w:ascii="Arial" w:hAnsi="Arial" w:cs="Arial"/>
          <w:i/>
          <w:sz w:val="24"/>
          <w:szCs w:val="24"/>
        </w:rPr>
        <w:t> možnosti odpočtu celkových osobných nákladov</w:t>
      </w:r>
      <w:r w:rsidRPr="00AE7DEF">
        <w:rPr>
          <w:rFonts w:ascii="Arial" w:hAnsi="Arial" w:cs="Arial"/>
          <w:i/>
          <w:sz w:val="24"/>
          <w:szCs w:val="24"/>
        </w:rPr>
        <w:t>, pretože v tomto znení je u nás nariadenie ťažko vykonateľné).</w:t>
      </w:r>
    </w:p>
    <w:p w:rsidR="00AE7DEF" w:rsidRPr="00AE7DEF" w:rsidRDefault="0094453F" w:rsidP="00DD6632">
      <w:pPr>
        <w:spacing w:after="240" w:line="240" w:lineRule="auto"/>
        <w:jc w:val="both"/>
        <w:rPr>
          <w:rFonts w:ascii="Arial" w:hAnsi="Arial" w:cs="Arial"/>
          <w:sz w:val="24"/>
          <w:szCs w:val="24"/>
        </w:rPr>
      </w:pPr>
      <w:r>
        <w:rPr>
          <w:rFonts w:ascii="Arial" w:hAnsi="Arial" w:cs="Arial"/>
          <w:sz w:val="24"/>
          <w:szCs w:val="24"/>
        </w:rPr>
        <w:t>(</w:t>
      </w:r>
      <w:r w:rsidRPr="0094453F">
        <w:rPr>
          <w:rFonts w:ascii="Arial" w:hAnsi="Arial" w:cs="Arial"/>
          <w:i/>
          <w:sz w:val="24"/>
          <w:szCs w:val="24"/>
        </w:rPr>
        <w:t>pozn. p</w:t>
      </w:r>
      <w:r w:rsidR="00D6187D" w:rsidRPr="0094453F">
        <w:rPr>
          <w:rFonts w:ascii="Arial" w:hAnsi="Arial" w:cs="Arial"/>
          <w:i/>
          <w:sz w:val="24"/>
          <w:szCs w:val="24"/>
        </w:rPr>
        <w:t xml:space="preserve">odľa SPPK je potrebná právna analýza, či </w:t>
      </w:r>
      <w:proofErr w:type="spellStart"/>
      <w:r w:rsidR="00D6187D" w:rsidRPr="0094453F">
        <w:rPr>
          <w:rFonts w:ascii="Arial" w:hAnsi="Arial" w:cs="Arial"/>
          <w:i/>
          <w:sz w:val="24"/>
          <w:szCs w:val="24"/>
        </w:rPr>
        <w:t>stropovanie</w:t>
      </w:r>
      <w:proofErr w:type="spellEnd"/>
      <w:r w:rsidR="00D6187D" w:rsidRPr="0094453F">
        <w:rPr>
          <w:rFonts w:ascii="Arial" w:hAnsi="Arial" w:cs="Arial"/>
          <w:i/>
          <w:sz w:val="24"/>
          <w:szCs w:val="24"/>
        </w:rPr>
        <w:t xml:space="preserve"> riešiť v podnikoch podľa IČO, alebo na konečného užívateľa výhod</w:t>
      </w:r>
      <w:r>
        <w:rPr>
          <w:rFonts w:ascii="Arial" w:hAnsi="Arial" w:cs="Arial"/>
          <w:sz w:val="24"/>
          <w:szCs w:val="24"/>
        </w:rPr>
        <w:t>)</w:t>
      </w:r>
      <w:r w:rsidR="00D6187D">
        <w:rPr>
          <w:rFonts w:ascii="Arial" w:hAnsi="Arial" w:cs="Arial"/>
          <w:sz w:val="24"/>
          <w:szCs w:val="24"/>
        </w:rPr>
        <w:t>.</w:t>
      </w:r>
    </w:p>
    <w:p w:rsidR="00770A46" w:rsidRPr="00770A46" w:rsidRDefault="00AE7DEF" w:rsidP="00770A46">
      <w:pPr>
        <w:pStyle w:val="Odsekzoznamu"/>
        <w:numPr>
          <w:ilvl w:val="0"/>
          <w:numId w:val="29"/>
        </w:numPr>
        <w:spacing w:after="120" w:line="240" w:lineRule="auto"/>
        <w:jc w:val="both"/>
        <w:rPr>
          <w:rFonts w:ascii="Arial" w:hAnsi="Arial" w:cs="Arial"/>
          <w:b/>
          <w:sz w:val="24"/>
          <w:szCs w:val="24"/>
        </w:rPr>
      </w:pPr>
      <w:r>
        <w:rPr>
          <w:rFonts w:ascii="Arial" w:hAnsi="Arial" w:cs="Arial"/>
          <w:b/>
          <w:sz w:val="24"/>
          <w:szCs w:val="24"/>
        </w:rPr>
        <w:t xml:space="preserve">Komplementárna </w:t>
      </w:r>
      <w:proofErr w:type="spellStart"/>
      <w:r w:rsidR="00770A46" w:rsidRPr="00770A46">
        <w:rPr>
          <w:rFonts w:ascii="Arial" w:hAnsi="Arial" w:cs="Arial"/>
          <w:b/>
          <w:sz w:val="24"/>
          <w:szCs w:val="24"/>
        </w:rPr>
        <w:t>redistributívna</w:t>
      </w:r>
      <w:proofErr w:type="spellEnd"/>
      <w:r w:rsidR="00770A46" w:rsidRPr="00770A46">
        <w:rPr>
          <w:rFonts w:ascii="Arial" w:hAnsi="Arial" w:cs="Arial"/>
          <w:b/>
          <w:sz w:val="24"/>
          <w:szCs w:val="24"/>
        </w:rPr>
        <w:t xml:space="preserve"> platba</w:t>
      </w:r>
    </w:p>
    <w:p w:rsidR="001C0F31" w:rsidRDefault="001C0F31" w:rsidP="00A12214">
      <w:pPr>
        <w:spacing w:after="120" w:line="240" w:lineRule="auto"/>
        <w:jc w:val="both"/>
        <w:rPr>
          <w:rFonts w:ascii="Arial" w:hAnsi="Arial" w:cs="Arial"/>
          <w:sz w:val="24"/>
          <w:szCs w:val="24"/>
        </w:rPr>
      </w:pPr>
      <w:r>
        <w:rPr>
          <w:rFonts w:ascii="Arial" w:hAnsi="Arial" w:cs="Arial"/>
          <w:sz w:val="24"/>
          <w:szCs w:val="24"/>
        </w:rPr>
        <w:t xml:space="preserve">Finančný balík, ktorý sa získa </w:t>
      </w:r>
      <w:proofErr w:type="spellStart"/>
      <w:r w:rsidR="00E513E1">
        <w:rPr>
          <w:rFonts w:ascii="Arial" w:hAnsi="Arial" w:cs="Arial"/>
          <w:sz w:val="24"/>
          <w:szCs w:val="24"/>
        </w:rPr>
        <w:t>stropovaním</w:t>
      </w:r>
      <w:proofErr w:type="spellEnd"/>
      <w:r>
        <w:rPr>
          <w:rFonts w:ascii="Arial" w:hAnsi="Arial" w:cs="Arial"/>
          <w:sz w:val="24"/>
          <w:szCs w:val="24"/>
        </w:rPr>
        <w:t xml:space="preserve"> priamych platieb sa musí prioritne použiť pre financovanie komple</w:t>
      </w:r>
      <w:r w:rsidR="0035199F">
        <w:rPr>
          <w:rFonts w:ascii="Arial" w:hAnsi="Arial" w:cs="Arial"/>
          <w:sz w:val="24"/>
          <w:szCs w:val="24"/>
        </w:rPr>
        <w:t xml:space="preserve">mentárnej </w:t>
      </w:r>
      <w:r w:rsidR="00AE7DEF">
        <w:rPr>
          <w:rFonts w:ascii="Arial" w:hAnsi="Arial" w:cs="Arial"/>
          <w:sz w:val="24"/>
          <w:szCs w:val="24"/>
        </w:rPr>
        <w:t>(</w:t>
      </w:r>
      <w:proofErr w:type="spellStart"/>
      <w:r w:rsidR="00AE7DEF">
        <w:rPr>
          <w:rFonts w:ascii="Arial" w:hAnsi="Arial" w:cs="Arial"/>
          <w:sz w:val="24"/>
          <w:szCs w:val="24"/>
        </w:rPr>
        <w:t>t.j</w:t>
      </w:r>
      <w:proofErr w:type="spellEnd"/>
      <w:r w:rsidR="00AE7DEF">
        <w:rPr>
          <w:rFonts w:ascii="Arial" w:hAnsi="Arial" w:cs="Arial"/>
          <w:sz w:val="24"/>
          <w:szCs w:val="24"/>
        </w:rPr>
        <w:t xml:space="preserve">. </w:t>
      </w:r>
      <w:r w:rsidR="00AE7DEF" w:rsidRPr="00AE7DEF">
        <w:rPr>
          <w:rFonts w:ascii="Arial" w:hAnsi="Arial" w:cs="Arial"/>
          <w:b/>
          <w:sz w:val="24"/>
          <w:szCs w:val="24"/>
        </w:rPr>
        <w:t>doplnkovej</w:t>
      </w:r>
      <w:r w:rsidR="00AE7DEF">
        <w:rPr>
          <w:rFonts w:ascii="Arial" w:hAnsi="Arial" w:cs="Arial"/>
          <w:sz w:val="24"/>
          <w:szCs w:val="24"/>
        </w:rPr>
        <w:t xml:space="preserve">) </w:t>
      </w:r>
      <w:proofErr w:type="spellStart"/>
      <w:r w:rsidR="00706ADD">
        <w:rPr>
          <w:rFonts w:ascii="Arial" w:hAnsi="Arial" w:cs="Arial"/>
          <w:sz w:val="24"/>
          <w:szCs w:val="24"/>
        </w:rPr>
        <w:t>redistributív</w:t>
      </w:r>
      <w:r w:rsidR="0035199F">
        <w:rPr>
          <w:rFonts w:ascii="Arial" w:hAnsi="Arial" w:cs="Arial"/>
          <w:sz w:val="24"/>
          <w:szCs w:val="24"/>
        </w:rPr>
        <w:t>nej</w:t>
      </w:r>
      <w:proofErr w:type="spellEnd"/>
      <w:r w:rsidR="0035199F">
        <w:rPr>
          <w:rFonts w:ascii="Arial" w:hAnsi="Arial" w:cs="Arial"/>
          <w:sz w:val="24"/>
          <w:szCs w:val="24"/>
        </w:rPr>
        <w:t xml:space="preserve"> platby, až potom na ďalšie intervencie v rámci priamych platieb (nateraz: len oddelených, neviazaných).</w:t>
      </w:r>
      <w:r w:rsidR="008446F2">
        <w:rPr>
          <w:rFonts w:ascii="Arial" w:hAnsi="Arial" w:cs="Arial"/>
          <w:sz w:val="24"/>
          <w:szCs w:val="24"/>
        </w:rPr>
        <w:t xml:space="preserve"> </w:t>
      </w:r>
      <w:r w:rsidR="00AE7DEF">
        <w:rPr>
          <w:rFonts w:ascii="Arial" w:hAnsi="Arial" w:cs="Arial"/>
          <w:sz w:val="24"/>
          <w:szCs w:val="24"/>
        </w:rPr>
        <w:t>Tento objem prostriedkov sa „</w:t>
      </w:r>
      <w:proofErr w:type="spellStart"/>
      <w:r w:rsidR="00AE7DEF">
        <w:rPr>
          <w:rFonts w:ascii="Arial" w:hAnsi="Arial" w:cs="Arial"/>
          <w:sz w:val="24"/>
          <w:szCs w:val="24"/>
        </w:rPr>
        <w:t>redistribuuje</w:t>
      </w:r>
      <w:proofErr w:type="spellEnd"/>
      <w:r w:rsidR="00AE7DEF" w:rsidRPr="00AE7DEF">
        <w:rPr>
          <w:rFonts w:ascii="Arial" w:hAnsi="Arial" w:cs="Arial"/>
          <w:b/>
          <w:sz w:val="24"/>
          <w:szCs w:val="24"/>
        </w:rPr>
        <w:t xml:space="preserve">“ </w:t>
      </w:r>
      <w:r w:rsidR="00D6187D">
        <w:rPr>
          <w:rFonts w:ascii="Arial" w:hAnsi="Arial" w:cs="Arial"/>
          <w:b/>
          <w:sz w:val="24"/>
          <w:szCs w:val="24"/>
        </w:rPr>
        <w:t>pre malých a stredných farmárov,</w:t>
      </w:r>
      <w:r w:rsidR="00D6187D">
        <w:rPr>
          <w:rFonts w:ascii="Arial" w:hAnsi="Arial" w:cs="Arial"/>
          <w:sz w:val="24"/>
          <w:szCs w:val="24"/>
        </w:rPr>
        <w:t xml:space="preserve"> a to na výmeru</w:t>
      </w:r>
      <w:r w:rsidR="00AE7DEF">
        <w:rPr>
          <w:rFonts w:ascii="Arial" w:hAnsi="Arial" w:cs="Arial"/>
          <w:sz w:val="24"/>
          <w:szCs w:val="24"/>
        </w:rPr>
        <w:t xml:space="preserve"> </w:t>
      </w:r>
      <w:r w:rsidR="00AE7DEF" w:rsidRPr="00AE7DEF">
        <w:rPr>
          <w:rFonts w:ascii="Arial" w:hAnsi="Arial" w:cs="Arial"/>
          <w:b/>
          <w:sz w:val="24"/>
          <w:szCs w:val="24"/>
        </w:rPr>
        <w:t xml:space="preserve">do prvých 100 hektárov so sadzbou stanovenou na úrovni minimálne 30% </w:t>
      </w:r>
      <w:r w:rsidR="00AE7DEF">
        <w:rPr>
          <w:rFonts w:ascii="Arial" w:hAnsi="Arial" w:cs="Arial"/>
          <w:sz w:val="24"/>
          <w:szCs w:val="24"/>
        </w:rPr>
        <w:t>priemernej priamej platby na hektár.</w:t>
      </w:r>
    </w:p>
    <w:p w:rsidR="00661920" w:rsidRDefault="00661920" w:rsidP="00A12214">
      <w:pPr>
        <w:spacing w:after="120" w:line="240" w:lineRule="auto"/>
        <w:jc w:val="both"/>
        <w:rPr>
          <w:rFonts w:ascii="Arial" w:hAnsi="Arial" w:cs="Arial"/>
          <w:sz w:val="24"/>
          <w:szCs w:val="24"/>
        </w:rPr>
      </w:pPr>
      <w:r>
        <w:rPr>
          <w:rFonts w:ascii="Arial" w:hAnsi="Arial" w:cs="Arial"/>
          <w:sz w:val="24"/>
          <w:szCs w:val="24"/>
        </w:rPr>
        <w:t xml:space="preserve">Podľa </w:t>
      </w:r>
      <w:r w:rsidRPr="000A7AFF">
        <w:rPr>
          <w:rFonts w:ascii="Arial" w:hAnsi="Arial" w:cs="Arial"/>
          <w:sz w:val="24"/>
          <w:szCs w:val="24"/>
          <w:u w:val="single"/>
        </w:rPr>
        <w:t>Intervenčnej stratégie</w:t>
      </w:r>
      <w:r>
        <w:rPr>
          <w:rFonts w:ascii="Arial" w:hAnsi="Arial" w:cs="Arial"/>
          <w:sz w:val="24"/>
          <w:szCs w:val="24"/>
        </w:rPr>
        <w:t xml:space="preserve">* sa bude táto platba týkať 450 tisíc hektárov. Pritom </w:t>
      </w:r>
      <w:r w:rsidRPr="00384338">
        <w:rPr>
          <w:rFonts w:ascii="Arial" w:hAnsi="Arial" w:cs="Arial"/>
          <w:b/>
          <w:sz w:val="24"/>
          <w:szCs w:val="24"/>
        </w:rPr>
        <w:t>pre mladých farmárov</w:t>
      </w:r>
      <w:r>
        <w:rPr>
          <w:rFonts w:ascii="Arial" w:hAnsi="Arial" w:cs="Arial"/>
          <w:sz w:val="24"/>
          <w:szCs w:val="24"/>
        </w:rPr>
        <w:t xml:space="preserve"> by mala byť určená </w:t>
      </w:r>
      <w:r w:rsidR="00D6187D">
        <w:rPr>
          <w:rFonts w:ascii="Arial" w:hAnsi="Arial" w:cs="Arial"/>
          <w:sz w:val="24"/>
          <w:szCs w:val="24"/>
        </w:rPr>
        <w:t xml:space="preserve">celková </w:t>
      </w:r>
      <w:r>
        <w:rPr>
          <w:rFonts w:ascii="Arial" w:hAnsi="Arial" w:cs="Arial"/>
          <w:sz w:val="24"/>
          <w:szCs w:val="24"/>
        </w:rPr>
        <w:t xml:space="preserve">suma min. </w:t>
      </w:r>
      <w:r w:rsidRPr="00384338">
        <w:rPr>
          <w:rFonts w:ascii="Arial" w:hAnsi="Arial" w:cs="Arial"/>
          <w:b/>
          <w:sz w:val="24"/>
          <w:szCs w:val="24"/>
        </w:rPr>
        <w:t>55,6 mil. euro</w:t>
      </w:r>
      <w:r>
        <w:rPr>
          <w:rFonts w:ascii="Arial" w:hAnsi="Arial" w:cs="Arial"/>
          <w:sz w:val="24"/>
          <w:szCs w:val="24"/>
        </w:rPr>
        <w:t xml:space="preserve"> (</w:t>
      </w:r>
      <w:r w:rsidR="00D6187D">
        <w:rPr>
          <w:rFonts w:ascii="Arial" w:hAnsi="Arial" w:cs="Arial"/>
          <w:sz w:val="24"/>
          <w:szCs w:val="24"/>
        </w:rPr>
        <w:t xml:space="preserve">z toho 12,2 mil. euro na </w:t>
      </w:r>
      <w:r>
        <w:rPr>
          <w:rFonts w:ascii="Arial" w:hAnsi="Arial" w:cs="Arial"/>
          <w:sz w:val="24"/>
          <w:szCs w:val="24"/>
        </w:rPr>
        <w:t>priame platby</w:t>
      </w:r>
      <w:r w:rsidR="00D6187D">
        <w:rPr>
          <w:rFonts w:ascii="Arial" w:hAnsi="Arial" w:cs="Arial"/>
          <w:sz w:val="24"/>
          <w:szCs w:val="24"/>
        </w:rPr>
        <w:t xml:space="preserve">, </w:t>
      </w:r>
      <w:proofErr w:type="spellStart"/>
      <w:r w:rsidR="00D6187D">
        <w:rPr>
          <w:rFonts w:ascii="Arial" w:hAnsi="Arial" w:cs="Arial"/>
          <w:sz w:val="24"/>
          <w:szCs w:val="24"/>
        </w:rPr>
        <w:t>t.j</w:t>
      </w:r>
      <w:proofErr w:type="spellEnd"/>
      <w:r w:rsidR="00D6187D">
        <w:rPr>
          <w:rFonts w:ascii="Arial" w:hAnsi="Arial" w:cs="Arial"/>
          <w:sz w:val="24"/>
          <w:szCs w:val="24"/>
        </w:rPr>
        <w:t>.</w:t>
      </w:r>
      <w:r>
        <w:rPr>
          <w:rFonts w:ascii="Arial" w:hAnsi="Arial" w:cs="Arial"/>
          <w:sz w:val="24"/>
          <w:szCs w:val="24"/>
        </w:rPr>
        <w:t xml:space="preserve"> </w:t>
      </w:r>
      <w:r w:rsidR="00D6187D">
        <w:rPr>
          <w:rFonts w:ascii="Arial" w:hAnsi="Arial" w:cs="Arial"/>
          <w:sz w:val="24"/>
          <w:szCs w:val="24"/>
        </w:rPr>
        <w:t>100 euro</w:t>
      </w:r>
      <w:r w:rsidR="00D6187D">
        <w:rPr>
          <w:rFonts w:ascii="Arial" w:hAnsi="Arial" w:cs="Arial"/>
          <w:sz w:val="24"/>
          <w:szCs w:val="24"/>
        </w:rPr>
        <w:t xml:space="preserve"> </w:t>
      </w:r>
      <w:r>
        <w:rPr>
          <w:rFonts w:ascii="Arial" w:hAnsi="Arial" w:cs="Arial"/>
          <w:sz w:val="24"/>
          <w:szCs w:val="24"/>
        </w:rPr>
        <w:t xml:space="preserve">na prvých 100 ha, </w:t>
      </w:r>
      <w:r w:rsidR="00D6187D">
        <w:rPr>
          <w:rFonts w:ascii="Arial" w:hAnsi="Arial" w:cs="Arial"/>
          <w:sz w:val="24"/>
          <w:szCs w:val="24"/>
        </w:rPr>
        <w:t>čo sa týka</w:t>
      </w:r>
      <w:r>
        <w:rPr>
          <w:rFonts w:ascii="Arial" w:hAnsi="Arial" w:cs="Arial"/>
          <w:sz w:val="24"/>
          <w:szCs w:val="24"/>
        </w:rPr>
        <w:t xml:space="preserve"> 17 430 ha; </w:t>
      </w:r>
      <w:r w:rsidR="00D6187D">
        <w:rPr>
          <w:rFonts w:ascii="Arial" w:hAnsi="Arial" w:cs="Arial"/>
          <w:sz w:val="24"/>
          <w:szCs w:val="24"/>
        </w:rPr>
        <w:t>a 43,5 mil. euro pre začínajúcich formou „</w:t>
      </w:r>
      <w:proofErr w:type="spellStart"/>
      <w:r w:rsidR="00D6187D">
        <w:rPr>
          <w:rFonts w:ascii="Arial" w:hAnsi="Arial" w:cs="Arial"/>
          <w:sz w:val="24"/>
          <w:szCs w:val="24"/>
        </w:rPr>
        <w:t>start-up</w:t>
      </w:r>
      <w:proofErr w:type="spellEnd"/>
      <w:r w:rsidR="00D6187D">
        <w:rPr>
          <w:rFonts w:ascii="Arial" w:hAnsi="Arial" w:cs="Arial"/>
          <w:sz w:val="24"/>
          <w:szCs w:val="24"/>
        </w:rPr>
        <w:t>“ grantov v </w:t>
      </w:r>
      <w:proofErr w:type="spellStart"/>
      <w:r w:rsidR="00D6187D">
        <w:rPr>
          <w:rFonts w:ascii="Arial" w:hAnsi="Arial" w:cs="Arial"/>
          <w:sz w:val="24"/>
          <w:szCs w:val="24"/>
        </w:rPr>
        <w:t>II.pilieri</w:t>
      </w:r>
      <w:proofErr w:type="spellEnd"/>
      <w:r w:rsidR="00D6187D">
        <w:rPr>
          <w:rFonts w:ascii="Arial" w:hAnsi="Arial" w:cs="Arial"/>
          <w:sz w:val="24"/>
          <w:szCs w:val="24"/>
        </w:rPr>
        <w:t xml:space="preserve">, </w:t>
      </w:r>
      <w:proofErr w:type="spellStart"/>
      <w:r w:rsidR="00D6187D">
        <w:rPr>
          <w:rFonts w:ascii="Arial" w:hAnsi="Arial" w:cs="Arial"/>
          <w:sz w:val="24"/>
          <w:szCs w:val="24"/>
        </w:rPr>
        <w:t>t.j</w:t>
      </w:r>
      <w:proofErr w:type="spellEnd"/>
      <w:r w:rsidR="00D6187D">
        <w:rPr>
          <w:rFonts w:ascii="Arial" w:hAnsi="Arial" w:cs="Arial"/>
          <w:sz w:val="24"/>
          <w:szCs w:val="24"/>
        </w:rPr>
        <w:t xml:space="preserve">. 70 000 euro na grant pre 620 farmárov; </w:t>
      </w:r>
      <w:r>
        <w:rPr>
          <w:rFonts w:ascii="Arial" w:hAnsi="Arial" w:cs="Arial"/>
          <w:sz w:val="24"/>
          <w:szCs w:val="24"/>
        </w:rPr>
        <w:t xml:space="preserve">- </w:t>
      </w:r>
      <w:r w:rsidR="00D6187D">
        <w:rPr>
          <w:rFonts w:ascii="Arial" w:hAnsi="Arial" w:cs="Arial"/>
          <w:i/>
          <w:sz w:val="24"/>
          <w:szCs w:val="24"/>
        </w:rPr>
        <w:t>podľa podmienok r.</w:t>
      </w:r>
      <w:r w:rsidRPr="00661920">
        <w:rPr>
          <w:rFonts w:ascii="Arial" w:hAnsi="Arial" w:cs="Arial"/>
          <w:i/>
          <w:sz w:val="24"/>
          <w:szCs w:val="24"/>
        </w:rPr>
        <w:t xml:space="preserve"> 2018</w:t>
      </w:r>
      <w:r>
        <w:rPr>
          <w:rFonts w:ascii="Arial" w:hAnsi="Arial" w:cs="Arial"/>
          <w:sz w:val="24"/>
          <w:szCs w:val="24"/>
        </w:rPr>
        <w:t xml:space="preserve">). </w:t>
      </w:r>
    </w:p>
    <w:p w:rsidR="00BF1954" w:rsidRDefault="00384338" w:rsidP="004E567D">
      <w:pPr>
        <w:spacing w:after="240" w:line="240" w:lineRule="auto"/>
        <w:jc w:val="both"/>
        <w:rPr>
          <w:rFonts w:ascii="Arial" w:hAnsi="Arial" w:cs="Arial"/>
          <w:sz w:val="24"/>
          <w:szCs w:val="24"/>
        </w:rPr>
      </w:pPr>
      <w:r>
        <w:rPr>
          <w:rFonts w:ascii="Arial" w:hAnsi="Arial" w:cs="Arial"/>
          <w:sz w:val="24"/>
          <w:szCs w:val="24"/>
        </w:rPr>
        <w:t xml:space="preserve">Okrem toho by </w:t>
      </w:r>
      <w:r w:rsidR="00A10B3E">
        <w:rPr>
          <w:rFonts w:ascii="Arial" w:hAnsi="Arial" w:cs="Arial"/>
          <w:sz w:val="24"/>
          <w:szCs w:val="24"/>
        </w:rPr>
        <w:t>sa z</w:t>
      </w:r>
      <w:r>
        <w:rPr>
          <w:rFonts w:ascii="Arial" w:hAnsi="Arial" w:cs="Arial"/>
          <w:sz w:val="24"/>
          <w:szCs w:val="24"/>
        </w:rPr>
        <w:t xml:space="preserve"> </w:t>
      </w:r>
      <w:r w:rsidR="00A10B3E">
        <w:rPr>
          <w:rFonts w:ascii="Arial" w:hAnsi="Arial" w:cs="Arial"/>
          <w:sz w:val="24"/>
          <w:szCs w:val="24"/>
        </w:rPr>
        <w:t>„</w:t>
      </w:r>
      <w:r>
        <w:rPr>
          <w:rFonts w:ascii="Arial" w:hAnsi="Arial" w:cs="Arial"/>
          <w:sz w:val="24"/>
          <w:szCs w:val="24"/>
        </w:rPr>
        <w:t xml:space="preserve">komplementárnej </w:t>
      </w:r>
      <w:proofErr w:type="spellStart"/>
      <w:r>
        <w:rPr>
          <w:rFonts w:ascii="Arial" w:hAnsi="Arial" w:cs="Arial"/>
          <w:sz w:val="24"/>
          <w:szCs w:val="24"/>
        </w:rPr>
        <w:t>redistributívn</w:t>
      </w:r>
      <w:r w:rsidR="00D73CBA">
        <w:rPr>
          <w:rFonts w:ascii="Arial" w:hAnsi="Arial" w:cs="Arial"/>
          <w:sz w:val="24"/>
          <w:szCs w:val="24"/>
        </w:rPr>
        <w:t>ej</w:t>
      </w:r>
      <w:proofErr w:type="spellEnd"/>
      <w:r w:rsidR="00D73CBA">
        <w:rPr>
          <w:rFonts w:ascii="Arial" w:hAnsi="Arial" w:cs="Arial"/>
          <w:sz w:val="24"/>
          <w:szCs w:val="24"/>
        </w:rPr>
        <w:t xml:space="preserve"> podpory príjmu</w:t>
      </w:r>
      <w:r w:rsidR="00A10B3E">
        <w:rPr>
          <w:rFonts w:ascii="Arial" w:hAnsi="Arial" w:cs="Arial"/>
          <w:sz w:val="24"/>
          <w:szCs w:val="24"/>
        </w:rPr>
        <w:t xml:space="preserve"> </w:t>
      </w:r>
      <w:r w:rsidR="00A10B3E">
        <w:rPr>
          <w:rFonts w:ascii="Arial" w:hAnsi="Arial" w:cs="Arial"/>
          <w:sz w:val="24"/>
          <w:szCs w:val="24"/>
        </w:rPr>
        <w:t>v záujme udržateľnosti</w:t>
      </w:r>
      <w:r w:rsidR="00A10B3E">
        <w:rPr>
          <w:rFonts w:ascii="Arial" w:hAnsi="Arial" w:cs="Arial"/>
          <w:sz w:val="24"/>
          <w:szCs w:val="24"/>
        </w:rPr>
        <w:t>“</w:t>
      </w:r>
      <w:r w:rsidR="00A10B3E">
        <w:rPr>
          <w:rFonts w:ascii="Arial" w:hAnsi="Arial" w:cs="Arial"/>
          <w:sz w:val="24"/>
          <w:szCs w:val="24"/>
        </w:rPr>
        <w:t xml:space="preserve"> </w:t>
      </w:r>
      <w:r>
        <w:rPr>
          <w:rFonts w:ascii="Arial" w:hAnsi="Arial" w:cs="Arial"/>
          <w:sz w:val="24"/>
          <w:szCs w:val="24"/>
        </w:rPr>
        <w:t xml:space="preserve">mali </w:t>
      </w:r>
      <w:r w:rsidR="003611A0">
        <w:rPr>
          <w:rFonts w:ascii="Arial" w:hAnsi="Arial" w:cs="Arial"/>
          <w:sz w:val="24"/>
          <w:szCs w:val="24"/>
        </w:rPr>
        <w:t>doplniť podpory</w:t>
      </w:r>
      <w:r>
        <w:rPr>
          <w:rFonts w:ascii="Arial" w:hAnsi="Arial" w:cs="Arial"/>
          <w:sz w:val="24"/>
          <w:szCs w:val="24"/>
        </w:rPr>
        <w:t xml:space="preserve"> </w:t>
      </w:r>
      <w:r w:rsidR="00A10B3E">
        <w:rPr>
          <w:rFonts w:ascii="Arial" w:hAnsi="Arial" w:cs="Arial"/>
          <w:sz w:val="24"/>
          <w:szCs w:val="24"/>
        </w:rPr>
        <w:t>aj</w:t>
      </w:r>
      <w:r w:rsidR="003611A0">
        <w:rPr>
          <w:rFonts w:ascii="Arial" w:hAnsi="Arial" w:cs="Arial"/>
          <w:sz w:val="24"/>
          <w:szCs w:val="24"/>
        </w:rPr>
        <w:t xml:space="preserve"> pre</w:t>
      </w:r>
      <w:r w:rsidR="00A10B3E">
        <w:rPr>
          <w:rFonts w:ascii="Arial" w:hAnsi="Arial" w:cs="Arial"/>
          <w:sz w:val="24"/>
          <w:szCs w:val="24"/>
        </w:rPr>
        <w:t xml:space="preserve"> </w:t>
      </w:r>
      <w:r w:rsidRPr="00384338">
        <w:rPr>
          <w:rFonts w:ascii="Arial" w:hAnsi="Arial" w:cs="Arial"/>
          <w:b/>
          <w:sz w:val="24"/>
          <w:szCs w:val="24"/>
        </w:rPr>
        <w:t>malé farmy</w:t>
      </w:r>
      <w:r w:rsidR="00A10B3E">
        <w:rPr>
          <w:rFonts w:ascii="Arial" w:hAnsi="Arial" w:cs="Arial"/>
          <w:sz w:val="24"/>
          <w:szCs w:val="24"/>
        </w:rPr>
        <w:t xml:space="preserve"> </w:t>
      </w:r>
      <w:r>
        <w:rPr>
          <w:rFonts w:ascii="Arial" w:hAnsi="Arial" w:cs="Arial"/>
          <w:sz w:val="24"/>
          <w:szCs w:val="24"/>
        </w:rPr>
        <w:t>v hodnote 100 euro na prvých 100 hektárov</w:t>
      </w:r>
      <w:r w:rsidR="00563664">
        <w:rPr>
          <w:rFonts w:ascii="Arial" w:hAnsi="Arial" w:cs="Arial"/>
          <w:sz w:val="24"/>
          <w:szCs w:val="24"/>
        </w:rPr>
        <w:t>.</w:t>
      </w:r>
      <w:r w:rsidR="00A10B3E">
        <w:rPr>
          <w:rFonts w:ascii="Arial" w:hAnsi="Arial" w:cs="Arial"/>
          <w:sz w:val="24"/>
          <w:szCs w:val="24"/>
        </w:rPr>
        <w:t xml:space="preserve"> Ide o oddelenú priamu platbu </w:t>
      </w:r>
      <w:r w:rsidR="003611A0">
        <w:rPr>
          <w:rFonts w:ascii="Arial" w:hAnsi="Arial" w:cs="Arial"/>
          <w:sz w:val="24"/>
          <w:szCs w:val="24"/>
        </w:rPr>
        <w:t xml:space="preserve">I. piliera </w:t>
      </w:r>
      <w:r w:rsidR="00A10B3E">
        <w:rPr>
          <w:rFonts w:ascii="Arial" w:hAnsi="Arial" w:cs="Arial"/>
          <w:sz w:val="24"/>
          <w:szCs w:val="24"/>
        </w:rPr>
        <w:t xml:space="preserve">s celkovým objemom </w:t>
      </w:r>
      <w:r w:rsidR="00A10B3E" w:rsidRPr="00A10B3E">
        <w:rPr>
          <w:rFonts w:ascii="Arial" w:hAnsi="Arial" w:cs="Arial"/>
          <w:b/>
          <w:sz w:val="24"/>
          <w:szCs w:val="24"/>
        </w:rPr>
        <w:t>315 mil. euro</w:t>
      </w:r>
      <w:r w:rsidR="003611A0">
        <w:rPr>
          <w:rFonts w:ascii="Arial" w:hAnsi="Arial" w:cs="Arial"/>
          <w:sz w:val="24"/>
          <w:szCs w:val="24"/>
        </w:rPr>
        <w:t xml:space="preserve"> na 7 rokov.</w:t>
      </w:r>
      <w:r w:rsidR="008C4E52">
        <w:rPr>
          <w:rFonts w:ascii="Arial" w:hAnsi="Arial" w:cs="Arial"/>
          <w:sz w:val="24"/>
          <w:szCs w:val="24"/>
        </w:rPr>
        <w:t xml:space="preserve"> Na Slovensku bolo v roku 2018 asi 16 292 fariem s podpriemernou veľkosťou (tá je </w:t>
      </w:r>
      <w:r w:rsidR="004E567D">
        <w:rPr>
          <w:rFonts w:ascii="Arial" w:hAnsi="Arial" w:cs="Arial"/>
          <w:sz w:val="24"/>
          <w:szCs w:val="24"/>
        </w:rPr>
        <w:t xml:space="preserve">aktuálne </w:t>
      </w:r>
      <w:r w:rsidR="008C4E52">
        <w:rPr>
          <w:rFonts w:ascii="Arial" w:hAnsi="Arial" w:cs="Arial"/>
          <w:sz w:val="24"/>
          <w:szCs w:val="24"/>
        </w:rPr>
        <w:t>80,7 ha) a ich celková výmera spolu predstavovala 205 744 ha. Podpora na prvých 100 ha sa bude v budúcom období poskytovať na celkom 450 000 ha (</w:t>
      </w:r>
      <w:proofErr w:type="spellStart"/>
      <w:r w:rsidR="008C4E52">
        <w:rPr>
          <w:rFonts w:ascii="Arial" w:hAnsi="Arial" w:cs="Arial"/>
          <w:sz w:val="24"/>
          <w:szCs w:val="24"/>
        </w:rPr>
        <w:t>t.j</w:t>
      </w:r>
      <w:proofErr w:type="spellEnd"/>
      <w:r w:rsidR="008C4E52">
        <w:rPr>
          <w:rFonts w:ascii="Arial" w:hAnsi="Arial" w:cs="Arial"/>
          <w:sz w:val="24"/>
          <w:szCs w:val="24"/>
        </w:rPr>
        <w:t>. plocha podpriemerne veľkých fariem a plocha prvých 100 ha nadpriemerne veľkých fariem). Malo by ísť o </w:t>
      </w:r>
      <w:r w:rsidR="008C4E52" w:rsidRPr="004E567D">
        <w:rPr>
          <w:rFonts w:ascii="Arial" w:hAnsi="Arial" w:cs="Arial"/>
          <w:b/>
          <w:sz w:val="24"/>
          <w:szCs w:val="24"/>
        </w:rPr>
        <w:t>149,2% dodatočnej podpory</w:t>
      </w:r>
      <w:r w:rsidR="008C4E52">
        <w:rPr>
          <w:rFonts w:ascii="Arial" w:hAnsi="Arial" w:cs="Arial"/>
          <w:sz w:val="24"/>
          <w:szCs w:val="24"/>
        </w:rPr>
        <w:t xml:space="preserve"> </w:t>
      </w:r>
      <w:r w:rsidR="008C4E52" w:rsidRPr="004E567D">
        <w:rPr>
          <w:rFonts w:ascii="Arial" w:hAnsi="Arial" w:cs="Arial"/>
          <w:b/>
          <w:sz w:val="24"/>
          <w:szCs w:val="24"/>
        </w:rPr>
        <w:t>na hektár</w:t>
      </w:r>
      <w:r w:rsidR="008C4E52">
        <w:rPr>
          <w:rFonts w:ascii="Arial" w:hAnsi="Arial" w:cs="Arial"/>
          <w:sz w:val="24"/>
          <w:szCs w:val="24"/>
        </w:rPr>
        <w:t xml:space="preserve"> pre oprávnené farmy.</w:t>
      </w:r>
      <w:r w:rsidR="00AB430B">
        <w:rPr>
          <w:rFonts w:ascii="Arial" w:hAnsi="Arial" w:cs="Arial"/>
          <w:sz w:val="24"/>
          <w:szCs w:val="24"/>
        </w:rPr>
        <w:t xml:space="preserve"> (</w:t>
      </w:r>
      <w:r w:rsidR="00AB430B" w:rsidRPr="00AB430B">
        <w:rPr>
          <w:rFonts w:ascii="Arial" w:hAnsi="Arial" w:cs="Arial"/>
          <w:i/>
          <w:sz w:val="24"/>
          <w:szCs w:val="24"/>
        </w:rPr>
        <w:t xml:space="preserve">pozn. </w:t>
      </w:r>
      <w:r w:rsidR="00AB430B">
        <w:rPr>
          <w:rFonts w:ascii="Arial" w:hAnsi="Arial" w:cs="Arial"/>
          <w:i/>
          <w:sz w:val="24"/>
          <w:szCs w:val="24"/>
        </w:rPr>
        <w:t>k</w:t>
      </w:r>
      <w:r w:rsidR="00AB430B" w:rsidRPr="00AB430B">
        <w:rPr>
          <w:rFonts w:ascii="Arial" w:hAnsi="Arial" w:cs="Arial"/>
          <w:i/>
          <w:sz w:val="24"/>
          <w:szCs w:val="24"/>
        </w:rPr>
        <w:t xml:space="preserve">eďže počet oprávnených hektárov na túto platbu určuje členský štát, je možné aj stanovenie minimálnej hranice, napr. </w:t>
      </w:r>
      <w:r w:rsidR="00AB430B">
        <w:rPr>
          <w:rFonts w:ascii="Arial" w:hAnsi="Arial" w:cs="Arial"/>
          <w:i/>
          <w:sz w:val="24"/>
          <w:szCs w:val="24"/>
        </w:rPr>
        <w:t xml:space="preserve">od </w:t>
      </w:r>
      <w:r w:rsidR="00AB430B" w:rsidRPr="00AB430B">
        <w:rPr>
          <w:rFonts w:ascii="Arial" w:hAnsi="Arial" w:cs="Arial"/>
          <w:i/>
          <w:sz w:val="24"/>
          <w:szCs w:val="24"/>
        </w:rPr>
        <w:t xml:space="preserve">5 ha, do ktorej sa nebude uplatňovať, napr. aj z dôvodu </w:t>
      </w:r>
      <w:r w:rsidR="00AB430B" w:rsidRPr="00AB430B">
        <w:rPr>
          <w:rFonts w:ascii="Arial" w:hAnsi="Arial" w:cs="Arial"/>
          <w:i/>
          <w:sz w:val="24"/>
          <w:szCs w:val="24"/>
        </w:rPr>
        <w:t>veľkej administratívnej záťaže</w:t>
      </w:r>
      <w:r w:rsidR="00AB430B">
        <w:rPr>
          <w:rFonts w:ascii="Arial" w:hAnsi="Arial" w:cs="Arial"/>
          <w:sz w:val="24"/>
          <w:szCs w:val="24"/>
        </w:rPr>
        <w:t>).</w:t>
      </w:r>
    </w:p>
    <w:p w:rsidR="00B9530B" w:rsidRDefault="00B9530B" w:rsidP="004E567D">
      <w:pPr>
        <w:spacing w:after="240" w:line="240" w:lineRule="auto"/>
        <w:jc w:val="both"/>
        <w:rPr>
          <w:rFonts w:ascii="Arial" w:hAnsi="Arial" w:cs="Arial"/>
          <w:sz w:val="24"/>
          <w:szCs w:val="24"/>
        </w:rPr>
      </w:pPr>
      <w:r w:rsidRPr="00B9530B">
        <w:rPr>
          <w:rFonts w:ascii="Arial" w:hAnsi="Arial" w:cs="Arial"/>
          <w:noProof/>
          <w:sz w:val="24"/>
          <w:szCs w:val="24"/>
          <w:lang w:eastAsia="sk-SK"/>
        </w:rPr>
        <w:drawing>
          <wp:inline distT="0" distB="0" distL="0" distR="0">
            <wp:extent cx="4067175" cy="2876550"/>
            <wp:effectExtent l="0" t="0" r="9525" b="0"/>
            <wp:docPr id="5" name="Obrázok 5" descr="C:\Users\450\Documents\Moje dokumenty\ZPO\WEB obilninari\riadny farm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50\Documents\Moje dokumenty\ZPO\WEB obilninari\riadny farma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7175" cy="2876550"/>
                    </a:xfrm>
                    <a:prstGeom prst="rect">
                      <a:avLst/>
                    </a:prstGeom>
                    <a:noFill/>
                    <a:ln>
                      <a:noFill/>
                    </a:ln>
                  </pic:spPr>
                </pic:pic>
              </a:graphicData>
            </a:graphic>
          </wp:inline>
        </w:drawing>
      </w:r>
    </w:p>
    <w:p w:rsidR="004E567D" w:rsidRPr="004E567D" w:rsidRDefault="004F37D9" w:rsidP="004E567D">
      <w:pPr>
        <w:pStyle w:val="Odsekzoznamu"/>
        <w:numPr>
          <w:ilvl w:val="0"/>
          <w:numId w:val="31"/>
        </w:numPr>
        <w:spacing w:after="120" w:line="240" w:lineRule="auto"/>
        <w:jc w:val="both"/>
        <w:rPr>
          <w:rFonts w:ascii="Arial" w:hAnsi="Arial" w:cs="Arial"/>
          <w:b/>
          <w:sz w:val="24"/>
          <w:szCs w:val="24"/>
        </w:rPr>
      </w:pPr>
      <w:r>
        <w:rPr>
          <w:rFonts w:ascii="Arial" w:hAnsi="Arial" w:cs="Arial"/>
          <w:b/>
          <w:sz w:val="24"/>
          <w:szCs w:val="24"/>
        </w:rPr>
        <w:lastRenderedPageBreak/>
        <w:t>S</w:t>
      </w:r>
      <w:r w:rsidR="0036430A">
        <w:rPr>
          <w:rFonts w:ascii="Arial" w:hAnsi="Arial" w:cs="Arial"/>
          <w:b/>
          <w:sz w:val="24"/>
          <w:szCs w:val="24"/>
        </w:rPr>
        <w:t>kutočný</w:t>
      </w:r>
      <w:r>
        <w:rPr>
          <w:rFonts w:ascii="Arial" w:hAnsi="Arial" w:cs="Arial"/>
          <w:b/>
          <w:sz w:val="24"/>
          <w:szCs w:val="24"/>
        </w:rPr>
        <w:t xml:space="preserve"> (aktívny</w:t>
      </w:r>
      <w:r w:rsidR="0036430A">
        <w:rPr>
          <w:rFonts w:ascii="Arial" w:hAnsi="Arial" w:cs="Arial"/>
          <w:b/>
          <w:sz w:val="24"/>
          <w:szCs w:val="24"/>
        </w:rPr>
        <w:t xml:space="preserve">) </w:t>
      </w:r>
      <w:r w:rsidR="004E567D" w:rsidRPr="004E567D">
        <w:rPr>
          <w:rFonts w:ascii="Arial" w:hAnsi="Arial" w:cs="Arial"/>
          <w:b/>
          <w:sz w:val="24"/>
          <w:szCs w:val="24"/>
        </w:rPr>
        <w:t>farmár</w:t>
      </w:r>
    </w:p>
    <w:p w:rsidR="004E567D" w:rsidRDefault="004E567D" w:rsidP="00A12214">
      <w:pPr>
        <w:spacing w:after="120" w:line="240" w:lineRule="auto"/>
        <w:jc w:val="both"/>
        <w:rPr>
          <w:rFonts w:ascii="Arial" w:hAnsi="Arial" w:cs="Arial"/>
          <w:sz w:val="24"/>
          <w:szCs w:val="24"/>
        </w:rPr>
      </w:pPr>
      <w:r>
        <w:rPr>
          <w:rFonts w:ascii="Arial" w:hAnsi="Arial" w:cs="Arial"/>
          <w:sz w:val="24"/>
          <w:szCs w:val="24"/>
        </w:rPr>
        <w:t xml:space="preserve">Tento pojem bol zavedený už pre aktuálne programové obdobie 2014-2020 a trvalo istý čas, kým sa ho podarilo zadefinovať a pochopiť. </w:t>
      </w:r>
      <w:r w:rsidR="0036430A">
        <w:rPr>
          <w:rFonts w:ascii="Arial" w:hAnsi="Arial" w:cs="Arial"/>
          <w:sz w:val="24"/>
          <w:szCs w:val="24"/>
        </w:rPr>
        <w:t xml:space="preserve">Podľa európskej legislatívy </w:t>
      </w:r>
      <w:r w:rsidR="0036430A" w:rsidRPr="0036430A">
        <w:rPr>
          <w:rFonts w:ascii="Arial" w:hAnsi="Arial" w:cs="Arial"/>
          <w:b/>
          <w:sz w:val="24"/>
          <w:szCs w:val="24"/>
        </w:rPr>
        <w:t>iba „aktívny, či skutočný farmár“ má nárok na finančnú podporu</w:t>
      </w:r>
      <w:r w:rsidR="0036430A">
        <w:rPr>
          <w:rFonts w:ascii="Arial" w:hAnsi="Arial" w:cs="Arial"/>
          <w:sz w:val="24"/>
          <w:szCs w:val="24"/>
        </w:rPr>
        <w:t xml:space="preserve"> z EÚ fondov. A teda je to podstatný pojem aj pre budúce programov</w:t>
      </w:r>
      <w:r w:rsidR="00D67EC2">
        <w:rPr>
          <w:rFonts w:ascii="Arial" w:hAnsi="Arial" w:cs="Arial"/>
          <w:sz w:val="24"/>
          <w:szCs w:val="24"/>
        </w:rPr>
        <w:t>é obdobie. Mal</w:t>
      </w:r>
      <w:r w:rsidR="0036430A">
        <w:rPr>
          <w:rFonts w:ascii="Arial" w:hAnsi="Arial" w:cs="Arial"/>
          <w:sz w:val="24"/>
          <w:szCs w:val="24"/>
        </w:rPr>
        <w:t xml:space="preserve"> by pomôcť rozlíšiť a vyradiť zo systému podpôr takých podnikateľov na pôde, ktorí sú len pasívnymi poberateľmi podpôr</w:t>
      </w:r>
      <w:r w:rsidR="009B4DF6">
        <w:rPr>
          <w:rFonts w:ascii="Arial" w:hAnsi="Arial" w:cs="Arial"/>
          <w:sz w:val="24"/>
          <w:szCs w:val="24"/>
        </w:rPr>
        <w:t xml:space="preserve"> za splnenie základných podmienok</w:t>
      </w:r>
      <w:r w:rsidR="0036430A">
        <w:rPr>
          <w:rFonts w:ascii="Arial" w:hAnsi="Arial" w:cs="Arial"/>
          <w:sz w:val="24"/>
          <w:szCs w:val="24"/>
        </w:rPr>
        <w:t>, no reálne nemajú žiadnu poľnohospodársku produkciu, ani neposkytujú ďalšie služby verejnosti.</w:t>
      </w:r>
    </w:p>
    <w:p w:rsidR="009B4DF6" w:rsidRDefault="00D67EC2" w:rsidP="00A12214">
      <w:pPr>
        <w:spacing w:after="120" w:line="240" w:lineRule="auto"/>
        <w:jc w:val="both"/>
        <w:rPr>
          <w:rFonts w:ascii="Arial" w:hAnsi="Arial" w:cs="Arial"/>
          <w:sz w:val="24"/>
          <w:szCs w:val="24"/>
        </w:rPr>
      </w:pPr>
      <w:r>
        <w:rPr>
          <w:rFonts w:ascii="Arial" w:hAnsi="Arial" w:cs="Arial"/>
          <w:sz w:val="24"/>
          <w:szCs w:val="24"/>
        </w:rPr>
        <w:t xml:space="preserve">V pôvodnom legislatívnom návrhu </w:t>
      </w:r>
      <w:r w:rsidR="00706ADD">
        <w:rPr>
          <w:rFonts w:ascii="Arial" w:hAnsi="Arial" w:cs="Arial"/>
          <w:sz w:val="24"/>
          <w:szCs w:val="24"/>
        </w:rPr>
        <w:t xml:space="preserve">EK </w:t>
      </w:r>
      <w:r>
        <w:rPr>
          <w:rFonts w:ascii="Arial" w:hAnsi="Arial" w:cs="Arial"/>
          <w:sz w:val="24"/>
          <w:szCs w:val="24"/>
        </w:rPr>
        <w:t xml:space="preserve">z júna 2018 </w:t>
      </w:r>
      <w:r w:rsidR="001D0A26">
        <w:rPr>
          <w:rFonts w:ascii="Arial" w:hAnsi="Arial" w:cs="Arial"/>
          <w:sz w:val="24"/>
          <w:szCs w:val="24"/>
        </w:rPr>
        <w:t xml:space="preserve">v článku 4 je uvedené, že členské štáty si musia vo svojich strategických plánoch SPP vymedziť tieto pojmy: poľnohospodárska činnosť; poľnohospodárska plocha (a jej ďalšia špecifikácia: orná pôda, trvalé plodiny, trvalý trávny porast a trvalé pasienky); hektár, na ktorý možno poskytnúť podporu; skutočný poľnohospodár a mladý poľnohospodár. </w:t>
      </w:r>
      <w:r w:rsidR="004B7AC9">
        <w:rPr>
          <w:rFonts w:ascii="Arial" w:hAnsi="Arial" w:cs="Arial"/>
          <w:sz w:val="24"/>
          <w:szCs w:val="24"/>
        </w:rPr>
        <w:t xml:space="preserve">Pod písmenom d) je uvedené: </w:t>
      </w:r>
      <w:r w:rsidR="00706ADD">
        <w:rPr>
          <w:rFonts w:ascii="Arial" w:hAnsi="Arial" w:cs="Arial"/>
          <w:sz w:val="24"/>
          <w:szCs w:val="24"/>
        </w:rPr>
        <w:t>„</w:t>
      </w:r>
      <w:r w:rsidR="004B7AC9" w:rsidRPr="004B7AC9">
        <w:rPr>
          <w:rFonts w:ascii="Arial" w:hAnsi="Arial" w:cs="Arial"/>
          <w:b/>
          <w:sz w:val="24"/>
          <w:szCs w:val="24"/>
        </w:rPr>
        <w:t>pojem „skutočný poľnohospodár“</w:t>
      </w:r>
      <w:r w:rsidR="004B7AC9">
        <w:rPr>
          <w:rFonts w:ascii="Arial" w:hAnsi="Arial" w:cs="Arial"/>
          <w:sz w:val="24"/>
          <w:szCs w:val="24"/>
        </w:rPr>
        <w:t xml:space="preserve"> sa musí vymedziť tak, aby sa zabezpečilo, aby sa podpora neposkytla nikomu, koho poľnohospodárska činnosť tvorí len nepodstatnú časť ich celkovej hospodárskej činnosti alebo koho hlavná ekonomická činnosť nie je poľnohospodárstvo, pričom by z podpory nemali byť vylúčení poľnohospodári vyvíjajúci viaceré činnosti. Vymedzenie tohto pojmu by malo umožniť určiť, akí poľnohospodári sa nepovažujú za skutočných poľnohospodárov, a to na základe podmienok ako test príjmov, vstupov práce v poľnohospodárskom podniku, účel podniku a/alebo zápis v registroch.</w:t>
      </w:r>
      <w:r w:rsidR="00706ADD">
        <w:rPr>
          <w:rFonts w:ascii="Arial" w:hAnsi="Arial" w:cs="Arial"/>
          <w:sz w:val="24"/>
          <w:szCs w:val="24"/>
        </w:rPr>
        <w:t>“</w:t>
      </w:r>
    </w:p>
    <w:p w:rsidR="004B7AC9" w:rsidRDefault="004B7AC9" w:rsidP="00A12214">
      <w:pPr>
        <w:spacing w:after="120" w:line="240" w:lineRule="auto"/>
        <w:jc w:val="both"/>
        <w:rPr>
          <w:rFonts w:ascii="Arial" w:hAnsi="Arial" w:cs="Arial"/>
          <w:sz w:val="24"/>
          <w:szCs w:val="24"/>
        </w:rPr>
      </w:pPr>
      <w:r w:rsidRPr="00450F82">
        <w:rPr>
          <w:rFonts w:ascii="Arial" w:hAnsi="Arial" w:cs="Arial"/>
          <w:sz w:val="24"/>
          <w:szCs w:val="24"/>
          <w:u w:val="single"/>
        </w:rPr>
        <w:t>Európsky Parlament vo svojom stanovisku z apríla 2019</w:t>
      </w:r>
      <w:r>
        <w:rPr>
          <w:rFonts w:ascii="Arial" w:hAnsi="Arial" w:cs="Arial"/>
          <w:sz w:val="24"/>
          <w:szCs w:val="24"/>
        </w:rPr>
        <w:t xml:space="preserve"> </w:t>
      </w:r>
      <w:r w:rsidRPr="002A52E6">
        <w:rPr>
          <w:rFonts w:ascii="Arial" w:hAnsi="Arial" w:cs="Arial"/>
          <w:b/>
          <w:sz w:val="24"/>
          <w:szCs w:val="24"/>
        </w:rPr>
        <w:t>navrhol upraviť článok 4, písmeno d</w:t>
      </w:r>
      <w:r>
        <w:rPr>
          <w:rFonts w:ascii="Arial" w:hAnsi="Arial" w:cs="Arial"/>
          <w:sz w:val="24"/>
          <w:szCs w:val="24"/>
        </w:rPr>
        <w:t>) takto: „</w:t>
      </w:r>
      <w:r w:rsidR="004F37D9" w:rsidRPr="004F37D9">
        <w:rPr>
          <w:rFonts w:ascii="Arial" w:hAnsi="Arial" w:cs="Arial"/>
          <w:strike/>
          <w:sz w:val="24"/>
          <w:szCs w:val="24"/>
        </w:rPr>
        <w:t>skutočný</w:t>
      </w:r>
      <w:r w:rsidR="004F37D9">
        <w:rPr>
          <w:rFonts w:ascii="Arial" w:hAnsi="Arial" w:cs="Arial"/>
          <w:sz w:val="24"/>
          <w:szCs w:val="24"/>
        </w:rPr>
        <w:t xml:space="preserve"> aktívny poľnohospodár musí byť definovaný členskými štátmi tak, aby bolo zabezpečené, že podpora nebude poskytnutá tým, ktorých poľnohospodárska aktivita tvorí iba nepatrnú časť ich celkových ekonomických aktivít a zároveň nevylučuje podporu mnohonásobných aktívnych poľnohospodárov. Definícia musí v každom prípade zachovať model rodinného poľnohospodárstva Únie v rámci individuálnej alebo skupinovej povahy, bez ohľadu na veľkosť, a pokiaľ je to potrebné, môže brať do úvahy špeciálne znaky daného regiónu definované v článku 355 (1) TFEU.</w:t>
      </w:r>
      <w:r w:rsidR="002A52E6">
        <w:rPr>
          <w:rFonts w:ascii="Arial" w:hAnsi="Arial" w:cs="Arial"/>
          <w:sz w:val="24"/>
          <w:szCs w:val="24"/>
        </w:rPr>
        <w:t xml:space="preserve"> Členské štáty môžu z tejto definície vylúčiť jedincov alebo spoločnosti vykonávajúce spracovanie poľnohospodárskej produkcie vo veľkom rozsahu, s výnimkou skupín poľnohospodárov (družstvá).“ Namiesto prívlastku „skutočný“ teda navrhuje „aktívny“ a upriamuje pozornosť na menšie rodinné farmy, ktoré v krajinách EÚ môžu popri poľnohospodárskej činnosti podnikať aj so spracovaním výrobkov, či poskytovať ubytovacie a iné služby, z ktorých žijú viacerí členovia rodiny.</w:t>
      </w:r>
    </w:p>
    <w:p w:rsidR="0036430A" w:rsidRDefault="0036430A" w:rsidP="00B62498">
      <w:pPr>
        <w:spacing w:after="240" w:line="240" w:lineRule="auto"/>
        <w:jc w:val="both"/>
        <w:rPr>
          <w:rFonts w:ascii="Arial" w:hAnsi="Arial" w:cs="Arial"/>
          <w:sz w:val="24"/>
          <w:szCs w:val="24"/>
        </w:rPr>
      </w:pPr>
      <w:r w:rsidRPr="00706ADD">
        <w:rPr>
          <w:rFonts w:ascii="Arial" w:hAnsi="Arial" w:cs="Arial"/>
          <w:sz w:val="24"/>
          <w:szCs w:val="24"/>
          <w:u w:val="single"/>
        </w:rPr>
        <w:t>Riadne predbežné stanovisko SR</w:t>
      </w:r>
      <w:r>
        <w:rPr>
          <w:rFonts w:ascii="Arial" w:hAnsi="Arial" w:cs="Arial"/>
          <w:sz w:val="24"/>
          <w:szCs w:val="24"/>
        </w:rPr>
        <w:t xml:space="preserve"> k tomuto bodu je</w:t>
      </w:r>
      <w:r w:rsidR="00B62498">
        <w:rPr>
          <w:rFonts w:ascii="Arial" w:hAnsi="Arial" w:cs="Arial"/>
          <w:sz w:val="24"/>
          <w:szCs w:val="24"/>
        </w:rPr>
        <w:t xml:space="preserve"> požiadavka</w:t>
      </w:r>
      <w:r>
        <w:rPr>
          <w:rFonts w:ascii="Arial" w:hAnsi="Arial" w:cs="Arial"/>
          <w:sz w:val="24"/>
          <w:szCs w:val="24"/>
        </w:rPr>
        <w:t xml:space="preserve">, aby si členské štáty EÚ mohli </w:t>
      </w:r>
      <w:r w:rsidRPr="00706ADD">
        <w:rPr>
          <w:rFonts w:ascii="Arial" w:hAnsi="Arial" w:cs="Arial"/>
          <w:b/>
          <w:sz w:val="24"/>
          <w:szCs w:val="24"/>
        </w:rPr>
        <w:t xml:space="preserve">dobrovoľne </w:t>
      </w:r>
      <w:r w:rsidR="006F1317">
        <w:rPr>
          <w:rFonts w:ascii="Arial" w:hAnsi="Arial" w:cs="Arial"/>
          <w:sz w:val="24"/>
          <w:szCs w:val="24"/>
        </w:rPr>
        <w:t xml:space="preserve">uplatňovať a </w:t>
      </w:r>
      <w:r>
        <w:rPr>
          <w:rFonts w:ascii="Arial" w:hAnsi="Arial" w:cs="Arial"/>
          <w:sz w:val="24"/>
          <w:szCs w:val="24"/>
        </w:rPr>
        <w:t>definovať pojem „aktívneho farmára“</w:t>
      </w:r>
      <w:r w:rsidR="006F1317">
        <w:rPr>
          <w:rFonts w:ascii="Arial" w:hAnsi="Arial" w:cs="Arial"/>
          <w:sz w:val="24"/>
          <w:szCs w:val="24"/>
        </w:rPr>
        <w:t xml:space="preserve"> na základe vlastných objektívnych a nediskriminačných kritérií. S týmto návrhom sa nateraz</w:t>
      </w:r>
      <w:r w:rsidR="00706ADD">
        <w:rPr>
          <w:rFonts w:ascii="Arial" w:hAnsi="Arial" w:cs="Arial"/>
          <w:sz w:val="24"/>
          <w:szCs w:val="24"/>
        </w:rPr>
        <w:t>,</w:t>
      </w:r>
      <w:r w:rsidR="006F1317">
        <w:rPr>
          <w:rFonts w:ascii="Arial" w:hAnsi="Arial" w:cs="Arial"/>
          <w:sz w:val="24"/>
          <w:szCs w:val="24"/>
        </w:rPr>
        <w:t xml:space="preserve"> </w:t>
      </w:r>
      <w:r w:rsidR="00706ADD">
        <w:rPr>
          <w:rFonts w:ascii="Arial" w:hAnsi="Arial" w:cs="Arial"/>
          <w:sz w:val="24"/>
          <w:szCs w:val="24"/>
        </w:rPr>
        <w:t>po rozsiahlych rokovaniach</w:t>
      </w:r>
      <w:r w:rsidR="00706ADD">
        <w:rPr>
          <w:rFonts w:ascii="Arial" w:hAnsi="Arial" w:cs="Arial"/>
          <w:sz w:val="24"/>
          <w:szCs w:val="24"/>
        </w:rPr>
        <w:t xml:space="preserve">, </w:t>
      </w:r>
      <w:r w:rsidR="006F1317">
        <w:rPr>
          <w:rFonts w:ascii="Arial" w:hAnsi="Arial" w:cs="Arial"/>
          <w:sz w:val="24"/>
          <w:szCs w:val="24"/>
        </w:rPr>
        <w:t>stotožnilo aj predsedníctvo Rady Európy</w:t>
      </w:r>
      <w:r>
        <w:rPr>
          <w:rFonts w:ascii="Arial" w:hAnsi="Arial" w:cs="Arial"/>
          <w:sz w:val="24"/>
          <w:szCs w:val="24"/>
        </w:rPr>
        <w:t>.</w:t>
      </w:r>
    </w:p>
    <w:p w:rsidR="00706ADD" w:rsidRDefault="00706ADD" w:rsidP="00B62498">
      <w:pPr>
        <w:pStyle w:val="Odsekzoznamu"/>
        <w:numPr>
          <w:ilvl w:val="0"/>
          <w:numId w:val="32"/>
        </w:numPr>
        <w:spacing w:after="120" w:line="240" w:lineRule="auto"/>
        <w:jc w:val="both"/>
        <w:rPr>
          <w:rFonts w:ascii="Arial" w:hAnsi="Arial" w:cs="Arial"/>
          <w:b/>
          <w:sz w:val="24"/>
          <w:szCs w:val="24"/>
        </w:rPr>
      </w:pPr>
      <w:r>
        <w:rPr>
          <w:rFonts w:ascii="Arial" w:hAnsi="Arial" w:cs="Arial"/>
          <w:b/>
          <w:sz w:val="24"/>
          <w:szCs w:val="24"/>
        </w:rPr>
        <w:t xml:space="preserve">Viazaná </w:t>
      </w:r>
      <w:r w:rsidRPr="004E54D4">
        <w:rPr>
          <w:rFonts w:ascii="Arial" w:hAnsi="Arial" w:cs="Arial"/>
          <w:sz w:val="24"/>
          <w:szCs w:val="24"/>
        </w:rPr>
        <w:t>(</w:t>
      </w:r>
      <w:r w:rsidR="004E54D4" w:rsidRPr="004E54D4">
        <w:rPr>
          <w:rFonts w:ascii="Arial" w:hAnsi="Arial" w:cs="Arial"/>
          <w:sz w:val="24"/>
          <w:szCs w:val="24"/>
        </w:rPr>
        <w:t xml:space="preserve">z anglického </w:t>
      </w:r>
      <w:proofErr w:type="spellStart"/>
      <w:r w:rsidRPr="004E54D4">
        <w:rPr>
          <w:rFonts w:ascii="Arial" w:hAnsi="Arial" w:cs="Arial"/>
          <w:sz w:val="24"/>
          <w:szCs w:val="24"/>
        </w:rPr>
        <w:t>coupled</w:t>
      </w:r>
      <w:proofErr w:type="spellEnd"/>
      <w:r w:rsidRPr="004E54D4">
        <w:rPr>
          <w:rFonts w:ascii="Arial" w:hAnsi="Arial" w:cs="Arial"/>
          <w:sz w:val="24"/>
          <w:szCs w:val="24"/>
        </w:rPr>
        <w:t xml:space="preserve"> / </w:t>
      </w:r>
      <w:proofErr w:type="spellStart"/>
      <w:r w:rsidRPr="004E54D4">
        <w:rPr>
          <w:rFonts w:ascii="Arial" w:hAnsi="Arial" w:cs="Arial"/>
          <w:sz w:val="24"/>
          <w:szCs w:val="24"/>
        </w:rPr>
        <w:t>kaplovaná</w:t>
      </w:r>
      <w:proofErr w:type="spellEnd"/>
      <w:r w:rsidRPr="004E54D4">
        <w:rPr>
          <w:rFonts w:ascii="Arial" w:hAnsi="Arial" w:cs="Arial"/>
          <w:sz w:val="24"/>
          <w:szCs w:val="24"/>
        </w:rPr>
        <w:t>)</w:t>
      </w:r>
      <w:r>
        <w:rPr>
          <w:rFonts w:ascii="Arial" w:hAnsi="Arial" w:cs="Arial"/>
          <w:b/>
          <w:sz w:val="24"/>
          <w:szCs w:val="24"/>
        </w:rPr>
        <w:t xml:space="preserve"> podpora</w:t>
      </w:r>
    </w:p>
    <w:p w:rsidR="004E54D4" w:rsidRDefault="004E54D4" w:rsidP="00706ADD">
      <w:pPr>
        <w:spacing w:after="120" w:line="240" w:lineRule="auto"/>
        <w:jc w:val="both"/>
        <w:rPr>
          <w:rFonts w:ascii="Arial" w:hAnsi="Arial" w:cs="Arial"/>
          <w:sz w:val="24"/>
          <w:szCs w:val="24"/>
        </w:rPr>
      </w:pPr>
      <w:r w:rsidRPr="004E54D4">
        <w:rPr>
          <w:rFonts w:ascii="Arial" w:hAnsi="Arial" w:cs="Arial"/>
          <w:sz w:val="24"/>
          <w:szCs w:val="24"/>
        </w:rPr>
        <w:t>Cieľom</w:t>
      </w:r>
      <w:r>
        <w:rPr>
          <w:rFonts w:ascii="Arial" w:hAnsi="Arial" w:cs="Arial"/>
          <w:sz w:val="24"/>
          <w:szCs w:val="24"/>
        </w:rPr>
        <w:t xml:space="preserve"> viazanej podpory v I. pilieri je stimulácia produkcie v sektoroch, ktoré nie sú síce ekonomicky atraktívne, ale majú svoj špecifický ekonomický, sociálny, alebo </w:t>
      </w:r>
      <w:proofErr w:type="spellStart"/>
      <w:r>
        <w:rPr>
          <w:rFonts w:ascii="Arial" w:hAnsi="Arial" w:cs="Arial"/>
          <w:sz w:val="24"/>
          <w:szCs w:val="24"/>
        </w:rPr>
        <w:t>enrivonmentálny</w:t>
      </w:r>
      <w:proofErr w:type="spellEnd"/>
      <w:r>
        <w:rPr>
          <w:rFonts w:ascii="Arial" w:hAnsi="Arial" w:cs="Arial"/>
          <w:sz w:val="24"/>
          <w:szCs w:val="24"/>
        </w:rPr>
        <w:t xml:space="preserve"> význam a prispievajú k rozvoju vidieka, či životnému prostrediu. Uplatňujú sa už aj v aktuálnom programovom období (</w:t>
      </w:r>
      <w:r w:rsidR="004B5E78" w:rsidRPr="004B5E78">
        <w:rPr>
          <w:rFonts w:ascii="Arial" w:hAnsi="Arial" w:cs="Arial"/>
          <w:i/>
          <w:sz w:val="24"/>
          <w:szCs w:val="24"/>
        </w:rPr>
        <w:t xml:space="preserve">pozn. </w:t>
      </w:r>
      <w:r w:rsidRPr="004B5E78">
        <w:rPr>
          <w:rFonts w:ascii="Arial" w:hAnsi="Arial" w:cs="Arial"/>
          <w:i/>
          <w:sz w:val="24"/>
          <w:szCs w:val="24"/>
        </w:rPr>
        <w:t xml:space="preserve">v SR </w:t>
      </w:r>
      <w:r w:rsidR="0097271D" w:rsidRPr="004B5E78">
        <w:rPr>
          <w:rFonts w:ascii="Arial" w:hAnsi="Arial" w:cs="Arial"/>
          <w:i/>
          <w:sz w:val="24"/>
          <w:szCs w:val="24"/>
        </w:rPr>
        <w:t xml:space="preserve">sú viazané platby </w:t>
      </w:r>
      <w:r w:rsidR="00B21D2D" w:rsidRPr="004B5E78">
        <w:rPr>
          <w:rFonts w:ascii="Arial" w:hAnsi="Arial" w:cs="Arial"/>
          <w:i/>
          <w:sz w:val="24"/>
          <w:szCs w:val="24"/>
        </w:rPr>
        <w:t>na cukrovú repu, chmeľ, vybrané druhy ovocia s vysokou a veľmi vysokou prácnosťou, vybrané druhy zeleniny, vybrané druhy bielkovinových plodín, rajčiaky, chov bahníc, jariek a kôz, výkrm vybraných kategórií HD, kravy s trhovou produkciou mlieka</w:t>
      </w:r>
      <w:r w:rsidR="00B21D2D">
        <w:rPr>
          <w:rFonts w:ascii="Arial" w:hAnsi="Arial" w:cs="Arial"/>
          <w:sz w:val="24"/>
          <w:szCs w:val="24"/>
        </w:rPr>
        <w:t>).</w:t>
      </w:r>
    </w:p>
    <w:p w:rsidR="004E54D4" w:rsidRDefault="004E54D4" w:rsidP="00706ADD">
      <w:pPr>
        <w:spacing w:after="120" w:line="240" w:lineRule="auto"/>
        <w:jc w:val="both"/>
        <w:rPr>
          <w:rFonts w:ascii="Arial" w:hAnsi="Arial" w:cs="Arial"/>
          <w:sz w:val="24"/>
          <w:szCs w:val="24"/>
        </w:rPr>
      </w:pPr>
      <w:r>
        <w:rPr>
          <w:rFonts w:ascii="Arial" w:hAnsi="Arial" w:cs="Arial"/>
          <w:sz w:val="24"/>
          <w:szCs w:val="24"/>
        </w:rPr>
        <w:t xml:space="preserve">V článku 86, ods.5 návrhu nariadenia z júna 2018 je stanovená </w:t>
      </w:r>
      <w:r w:rsidRPr="00315420">
        <w:rPr>
          <w:rFonts w:ascii="Arial" w:hAnsi="Arial" w:cs="Arial"/>
          <w:b/>
          <w:sz w:val="24"/>
          <w:szCs w:val="24"/>
        </w:rPr>
        <w:t>maximálna finančná alokácia pre viazané platby na 10%</w:t>
      </w:r>
      <w:r w:rsidR="00315420">
        <w:rPr>
          <w:rFonts w:ascii="Arial" w:hAnsi="Arial" w:cs="Arial"/>
          <w:sz w:val="24"/>
          <w:szCs w:val="24"/>
        </w:rPr>
        <w:t xml:space="preserve"> zo sumy stanovenej v prílohe VII</w:t>
      </w:r>
      <w:r w:rsidR="007B72D1">
        <w:rPr>
          <w:rFonts w:ascii="Arial" w:hAnsi="Arial" w:cs="Arial"/>
          <w:sz w:val="24"/>
          <w:szCs w:val="24"/>
        </w:rPr>
        <w:t xml:space="preserve"> (</w:t>
      </w:r>
      <w:proofErr w:type="spellStart"/>
      <w:r w:rsidR="007B72D1">
        <w:rPr>
          <w:rFonts w:ascii="Arial" w:hAnsi="Arial" w:cs="Arial"/>
          <w:sz w:val="24"/>
          <w:szCs w:val="24"/>
        </w:rPr>
        <w:t>I.pilier</w:t>
      </w:r>
      <w:proofErr w:type="spellEnd"/>
      <w:r w:rsidR="007B72D1">
        <w:rPr>
          <w:rFonts w:ascii="Arial" w:hAnsi="Arial" w:cs="Arial"/>
          <w:sz w:val="24"/>
          <w:szCs w:val="24"/>
        </w:rPr>
        <w:t>)</w:t>
      </w:r>
      <w:r w:rsidR="00315420">
        <w:rPr>
          <w:rFonts w:ascii="Arial" w:hAnsi="Arial" w:cs="Arial"/>
          <w:sz w:val="24"/>
          <w:szCs w:val="24"/>
        </w:rPr>
        <w:t xml:space="preserve">, ktorý sa môže zvýšiť maximálne </w:t>
      </w:r>
      <w:r w:rsidR="00315420" w:rsidRPr="00315420">
        <w:rPr>
          <w:rFonts w:ascii="Arial" w:hAnsi="Arial" w:cs="Arial"/>
          <w:b/>
          <w:sz w:val="24"/>
          <w:szCs w:val="24"/>
        </w:rPr>
        <w:t>o 2% pre podporu bielkovinových plodín</w:t>
      </w:r>
      <w:r w:rsidR="00315420">
        <w:rPr>
          <w:rFonts w:ascii="Arial" w:hAnsi="Arial" w:cs="Arial"/>
          <w:sz w:val="24"/>
          <w:szCs w:val="24"/>
        </w:rPr>
        <w:t xml:space="preserve">. </w:t>
      </w:r>
      <w:r w:rsidR="00450F82">
        <w:rPr>
          <w:rFonts w:ascii="Arial" w:hAnsi="Arial" w:cs="Arial"/>
          <w:sz w:val="24"/>
          <w:szCs w:val="24"/>
        </w:rPr>
        <w:t>V článkoch 29 až 33 legislatívneho návrhu EK sú stanovené základné pravidlá pre uplatňovanie viazaných platieb (vo forme platby na hektár, či na registrované zviera) a špecifikovaný rozsah pôsobnosti (sektory).</w:t>
      </w:r>
    </w:p>
    <w:p w:rsidR="0050321C" w:rsidRDefault="000A7AFF" w:rsidP="00706ADD">
      <w:pPr>
        <w:spacing w:after="120" w:line="240" w:lineRule="auto"/>
        <w:jc w:val="both"/>
        <w:rPr>
          <w:rFonts w:ascii="Arial" w:hAnsi="Arial" w:cs="Arial"/>
          <w:sz w:val="24"/>
          <w:szCs w:val="24"/>
        </w:rPr>
      </w:pPr>
      <w:r>
        <w:rPr>
          <w:rFonts w:ascii="Arial" w:hAnsi="Arial" w:cs="Arial"/>
          <w:sz w:val="24"/>
          <w:szCs w:val="24"/>
        </w:rPr>
        <w:t xml:space="preserve">Podľa návrhu </w:t>
      </w:r>
      <w:r w:rsidRPr="000A7AFF">
        <w:rPr>
          <w:rFonts w:ascii="Arial" w:hAnsi="Arial" w:cs="Arial"/>
          <w:sz w:val="24"/>
          <w:szCs w:val="24"/>
          <w:u w:val="single"/>
        </w:rPr>
        <w:t>Intervenčnej stratégie</w:t>
      </w:r>
      <w:r>
        <w:rPr>
          <w:rFonts w:ascii="Arial" w:hAnsi="Arial" w:cs="Arial"/>
          <w:sz w:val="24"/>
          <w:szCs w:val="24"/>
        </w:rPr>
        <w:t>* sa</w:t>
      </w:r>
      <w:r>
        <w:rPr>
          <w:rFonts w:ascii="Arial" w:hAnsi="Arial" w:cs="Arial"/>
          <w:sz w:val="24"/>
          <w:szCs w:val="24"/>
        </w:rPr>
        <w:t xml:space="preserve"> na Slovensku viazanou formou podporí živočíšna výroba (chov bahníc, jariek a kôz, výkrm vybraných kategórií HD a kravy s TPM), špeciálna rastlinná výroba (zakryté plochy, vybrané druhy ovocia a zeleniny s vysokou a veľmi vysokou prácnosťou), cukrová </w:t>
      </w:r>
      <w:r>
        <w:rPr>
          <w:rFonts w:ascii="Arial" w:hAnsi="Arial" w:cs="Arial"/>
          <w:sz w:val="24"/>
          <w:szCs w:val="24"/>
        </w:rPr>
        <w:lastRenderedPageBreak/>
        <w:t xml:space="preserve">repa a chmeľ. </w:t>
      </w:r>
      <w:r w:rsidR="00036A54">
        <w:rPr>
          <w:rFonts w:ascii="Arial" w:hAnsi="Arial" w:cs="Arial"/>
          <w:sz w:val="24"/>
          <w:szCs w:val="24"/>
        </w:rPr>
        <w:t xml:space="preserve">Celková alokácia bude </w:t>
      </w:r>
      <w:r w:rsidR="00036A54" w:rsidRPr="00D65F02">
        <w:rPr>
          <w:rFonts w:ascii="Arial" w:hAnsi="Arial" w:cs="Arial"/>
          <w:b/>
          <w:sz w:val="24"/>
          <w:szCs w:val="24"/>
        </w:rPr>
        <w:t>333,8 mil. euro</w:t>
      </w:r>
      <w:r w:rsidR="00036A54">
        <w:rPr>
          <w:rFonts w:ascii="Arial" w:hAnsi="Arial" w:cs="Arial"/>
          <w:sz w:val="24"/>
          <w:szCs w:val="24"/>
        </w:rPr>
        <w:t xml:space="preserve"> na 7 rokov. </w:t>
      </w:r>
      <w:r w:rsidR="0050321C" w:rsidRPr="006254DD">
        <w:rPr>
          <w:rFonts w:ascii="Arial" w:hAnsi="Arial" w:cs="Arial"/>
          <w:sz w:val="24"/>
          <w:szCs w:val="24"/>
        </w:rPr>
        <w:t>V živočíšnej vý</w:t>
      </w:r>
      <w:r w:rsidR="00261DEB">
        <w:rPr>
          <w:rFonts w:ascii="Arial" w:hAnsi="Arial" w:cs="Arial"/>
          <w:sz w:val="24"/>
          <w:szCs w:val="24"/>
        </w:rPr>
        <w:t>robe tak</w:t>
      </w:r>
      <w:r w:rsidR="0050321C" w:rsidRPr="006254DD">
        <w:rPr>
          <w:rFonts w:ascii="Arial" w:hAnsi="Arial" w:cs="Arial"/>
          <w:sz w:val="24"/>
          <w:szCs w:val="24"/>
        </w:rPr>
        <w:t xml:space="preserve"> dôjde k</w:t>
      </w:r>
      <w:r w:rsidR="0050321C">
        <w:rPr>
          <w:rFonts w:ascii="Arial" w:hAnsi="Arial" w:cs="Arial"/>
          <w:sz w:val="24"/>
          <w:szCs w:val="24"/>
        </w:rPr>
        <w:t> poklesu podpory (cca o 77 mil. euro oproti súčasnému obdobiu), ktorú chce SR kompenzovať z národných zdrojov. Naopak, výraznejšie sa podporí výroba zeleniny, bielkovinových plodín a cukrovej repy.</w:t>
      </w:r>
    </w:p>
    <w:p w:rsidR="003C1E31" w:rsidRDefault="00450F82" w:rsidP="00706ADD">
      <w:pPr>
        <w:spacing w:after="120" w:line="240" w:lineRule="auto"/>
        <w:jc w:val="both"/>
        <w:rPr>
          <w:rFonts w:ascii="Arial" w:hAnsi="Arial" w:cs="Arial"/>
          <w:sz w:val="24"/>
          <w:szCs w:val="24"/>
        </w:rPr>
      </w:pPr>
      <w:r w:rsidRPr="00450F82">
        <w:rPr>
          <w:rFonts w:ascii="Arial" w:hAnsi="Arial" w:cs="Arial"/>
          <w:sz w:val="24"/>
          <w:szCs w:val="24"/>
          <w:u w:val="single"/>
        </w:rPr>
        <w:t xml:space="preserve">Stanovisko Európskeho Parlamentu z jari </w:t>
      </w:r>
      <w:proofErr w:type="spellStart"/>
      <w:r w:rsidRPr="00450F82">
        <w:rPr>
          <w:rFonts w:ascii="Arial" w:hAnsi="Arial" w:cs="Arial"/>
          <w:sz w:val="24"/>
          <w:szCs w:val="24"/>
          <w:u w:val="single"/>
        </w:rPr>
        <w:t>t.r</w:t>
      </w:r>
      <w:proofErr w:type="spellEnd"/>
      <w:r>
        <w:rPr>
          <w:rFonts w:ascii="Arial" w:hAnsi="Arial" w:cs="Arial"/>
          <w:sz w:val="24"/>
          <w:szCs w:val="24"/>
        </w:rPr>
        <w:t xml:space="preserve">. však tieto ustanovenia napáda a upravuje tak, aby boli viazané platby viac v súlade s cieľmi a obmedzovali výrobu. </w:t>
      </w:r>
      <w:proofErr w:type="spellStart"/>
      <w:r>
        <w:rPr>
          <w:rFonts w:ascii="Arial" w:hAnsi="Arial" w:cs="Arial"/>
          <w:sz w:val="24"/>
          <w:szCs w:val="24"/>
        </w:rPr>
        <w:t>O.i</w:t>
      </w:r>
      <w:proofErr w:type="spellEnd"/>
      <w:r>
        <w:rPr>
          <w:rFonts w:ascii="Arial" w:hAnsi="Arial" w:cs="Arial"/>
          <w:sz w:val="24"/>
          <w:szCs w:val="24"/>
        </w:rPr>
        <w:t xml:space="preserve">. majú mať formu ročnej platby založenej na pevne daných oblastiach a výnosoch, alebo na pevne danom počte zvierat a musia dodržovať finančné stropy stanovené členskými štátmi. Medzi oprávnené oblasti zaradil iba: </w:t>
      </w:r>
      <w:r w:rsidR="00584FBE">
        <w:rPr>
          <w:rFonts w:ascii="Arial" w:hAnsi="Arial" w:cs="Arial"/>
          <w:sz w:val="24"/>
          <w:szCs w:val="24"/>
        </w:rPr>
        <w:t xml:space="preserve">obilniny, olejniny, bielkovinové plodiny, strukoviny na zrno, ľan, konope, ryža, orechy, zemiaky na škrob, mlieko a mliečne výrobky, osivá, ovčie a kozie mäso, hovädzie a teľacie mäso, olivový olej, húsenice priadky morušovej, sušené krmivo, chmeľ, cukrová repa, cukrová trstina, čakanka, ovocie a zelenina, </w:t>
      </w:r>
      <w:proofErr w:type="spellStart"/>
      <w:r w:rsidR="00584FBE">
        <w:rPr>
          <w:rFonts w:ascii="Arial" w:hAnsi="Arial" w:cs="Arial"/>
          <w:sz w:val="24"/>
          <w:szCs w:val="24"/>
        </w:rPr>
        <w:t>výmladkové</w:t>
      </w:r>
      <w:proofErr w:type="spellEnd"/>
      <w:r w:rsidR="00584FBE">
        <w:rPr>
          <w:rFonts w:ascii="Arial" w:hAnsi="Arial" w:cs="Arial"/>
          <w:sz w:val="24"/>
          <w:szCs w:val="24"/>
        </w:rPr>
        <w:t xml:space="preserve"> plantáže s krátkou rotáciou (</w:t>
      </w:r>
      <w:r w:rsidR="00584FBE" w:rsidRPr="00584FBE">
        <w:rPr>
          <w:rFonts w:ascii="Arial" w:hAnsi="Arial" w:cs="Arial"/>
          <w:i/>
          <w:sz w:val="24"/>
          <w:szCs w:val="24"/>
        </w:rPr>
        <w:t>vyradil kŕmne strukoviny a miešanky, víno, olivy, bravčové mäso, hydinové mäso, vajcia, med, rezané kvety, a ďalšie nepotravinové plodiny s výnimkou stromov na výrobu produktov, ktoré môžu potenciálne nahradiť fosílne palivá</w:t>
      </w:r>
      <w:r w:rsidR="00584FBE">
        <w:rPr>
          <w:rFonts w:ascii="Arial" w:hAnsi="Arial" w:cs="Arial"/>
          <w:sz w:val="24"/>
          <w:szCs w:val="24"/>
        </w:rPr>
        <w:t xml:space="preserve">). </w:t>
      </w:r>
      <w:r w:rsidR="00384E75">
        <w:rPr>
          <w:rFonts w:ascii="Arial" w:hAnsi="Arial" w:cs="Arial"/>
          <w:sz w:val="24"/>
          <w:szCs w:val="24"/>
        </w:rPr>
        <w:t>Čo sa týka viazanej podpory na zvieratá (HD, ovce, kozy), členské krajiny musia definovať podmienky oprávnenosti na podporu požiadaviek na identifikáciu a evidenciu zvierat.</w:t>
      </w:r>
    </w:p>
    <w:p w:rsidR="00450F82" w:rsidRPr="004E54D4" w:rsidRDefault="003C1E31" w:rsidP="00706ADD">
      <w:pPr>
        <w:spacing w:after="120" w:line="240" w:lineRule="auto"/>
        <w:jc w:val="both"/>
        <w:rPr>
          <w:rFonts w:ascii="Arial" w:hAnsi="Arial" w:cs="Arial"/>
          <w:sz w:val="24"/>
          <w:szCs w:val="24"/>
        </w:rPr>
      </w:pPr>
      <w:r>
        <w:rPr>
          <w:rFonts w:ascii="Arial" w:hAnsi="Arial" w:cs="Arial"/>
          <w:sz w:val="24"/>
          <w:szCs w:val="24"/>
        </w:rPr>
        <w:t>Je teda otázne, ako táto diskusia dopadne a či sa viazaná podpora nebude vzťahovať na vopred stanovenú produkciu výrobkov, namiesto hektárov a kusov. Pritom každá členská krajina EÚ si musí sama stanoviť tzv. „citlivé sektory“, ktoré majú význam a potenciál pre krajinu a spoločnosť.</w:t>
      </w:r>
    </w:p>
    <w:p w:rsidR="00706ADD" w:rsidRDefault="001C5B59" w:rsidP="0050321C">
      <w:pPr>
        <w:spacing w:after="60" w:line="240" w:lineRule="auto"/>
        <w:jc w:val="both"/>
        <w:rPr>
          <w:rFonts w:ascii="Arial" w:hAnsi="Arial" w:cs="Arial"/>
          <w:sz w:val="24"/>
          <w:szCs w:val="24"/>
        </w:rPr>
      </w:pPr>
      <w:r w:rsidRPr="001C5B59">
        <w:rPr>
          <w:rFonts w:ascii="Arial" w:hAnsi="Arial" w:cs="Arial"/>
          <w:sz w:val="24"/>
          <w:szCs w:val="24"/>
          <w:u w:val="single"/>
        </w:rPr>
        <w:t>Riadne predbežné stanovisko SR</w:t>
      </w:r>
      <w:r w:rsidRPr="001C5B59">
        <w:rPr>
          <w:rFonts w:ascii="Arial" w:hAnsi="Arial" w:cs="Arial"/>
          <w:sz w:val="24"/>
          <w:szCs w:val="24"/>
        </w:rPr>
        <w:t>: podporujeme</w:t>
      </w:r>
      <w:r>
        <w:rPr>
          <w:rFonts w:ascii="Arial" w:hAnsi="Arial" w:cs="Arial"/>
          <w:sz w:val="24"/>
          <w:szCs w:val="24"/>
        </w:rPr>
        <w:t xml:space="preserve"> viazanú podporu na úrovni 13 + 2% </w:t>
      </w:r>
      <w:r w:rsidR="003C1E31">
        <w:rPr>
          <w:rFonts w:ascii="Arial" w:hAnsi="Arial" w:cs="Arial"/>
          <w:sz w:val="24"/>
          <w:szCs w:val="24"/>
        </w:rPr>
        <w:t>na bielkovinové plodiny (</w:t>
      </w:r>
      <w:r w:rsidR="003C1E31" w:rsidRPr="003C1E31">
        <w:rPr>
          <w:rFonts w:ascii="Arial" w:hAnsi="Arial" w:cs="Arial"/>
          <w:i/>
          <w:sz w:val="24"/>
          <w:szCs w:val="24"/>
        </w:rPr>
        <w:t>pozn. SPPK navrhuje 16+4%</w:t>
      </w:r>
      <w:r w:rsidR="003C1E31">
        <w:rPr>
          <w:rFonts w:ascii="Arial" w:hAnsi="Arial" w:cs="Arial"/>
          <w:sz w:val="24"/>
          <w:szCs w:val="24"/>
        </w:rPr>
        <w:t xml:space="preserve">) </w:t>
      </w:r>
      <w:r>
        <w:rPr>
          <w:rFonts w:ascii="Arial" w:hAnsi="Arial" w:cs="Arial"/>
          <w:sz w:val="24"/>
          <w:szCs w:val="24"/>
        </w:rPr>
        <w:t>a</w:t>
      </w:r>
      <w:r w:rsidR="00942C14">
        <w:rPr>
          <w:rFonts w:ascii="Arial" w:hAnsi="Arial" w:cs="Arial"/>
          <w:sz w:val="24"/>
          <w:szCs w:val="24"/>
        </w:rPr>
        <w:t> </w:t>
      </w:r>
      <w:r>
        <w:rPr>
          <w:rFonts w:ascii="Arial" w:hAnsi="Arial" w:cs="Arial"/>
          <w:sz w:val="24"/>
          <w:szCs w:val="24"/>
        </w:rPr>
        <w:t>prepočítať</w:t>
      </w:r>
      <w:r w:rsidR="00942C14">
        <w:rPr>
          <w:rFonts w:ascii="Arial" w:hAnsi="Arial" w:cs="Arial"/>
          <w:sz w:val="24"/>
          <w:szCs w:val="24"/>
        </w:rPr>
        <w:t xml:space="preserve"> prínos</w:t>
      </w:r>
      <w:r>
        <w:rPr>
          <w:rFonts w:ascii="Arial" w:hAnsi="Arial" w:cs="Arial"/>
          <w:sz w:val="24"/>
          <w:szCs w:val="24"/>
        </w:rPr>
        <w:t xml:space="preserve"> </w:t>
      </w:r>
      <w:r w:rsidR="003C1E31">
        <w:rPr>
          <w:rFonts w:ascii="Arial" w:hAnsi="Arial" w:cs="Arial"/>
          <w:sz w:val="24"/>
          <w:szCs w:val="24"/>
        </w:rPr>
        <w:t>platby na uhlíkovú stopu.</w:t>
      </w:r>
    </w:p>
    <w:p w:rsidR="0050321C" w:rsidRDefault="0050321C" w:rsidP="0050321C">
      <w:pPr>
        <w:spacing w:after="240" w:line="240" w:lineRule="auto"/>
        <w:jc w:val="both"/>
        <w:rPr>
          <w:rFonts w:ascii="Arial" w:hAnsi="Arial" w:cs="Arial"/>
          <w:i/>
          <w:sz w:val="24"/>
          <w:szCs w:val="24"/>
        </w:rPr>
      </w:pPr>
      <w:r>
        <w:rPr>
          <w:rFonts w:ascii="Arial" w:hAnsi="Arial" w:cs="Arial"/>
          <w:sz w:val="24"/>
          <w:szCs w:val="24"/>
        </w:rPr>
        <w:t>(</w:t>
      </w:r>
      <w:r w:rsidRPr="00036A54">
        <w:rPr>
          <w:rFonts w:ascii="Arial" w:hAnsi="Arial" w:cs="Arial"/>
          <w:i/>
          <w:sz w:val="24"/>
          <w:szCs w:val="24"/>
        </w:rPr>
        <w:t>pozn. keďže Slovensko už teraz upla</w:t>
      </w:r>
      <w:r>
        <w:rPr>
          <w:rFonts w:ascii="Arial" w:hAnsi="Arial" w:cs="Arial"/>
          <w:i/>
          <w:sz w:val="24"/>
          <w:szCs w:val="24"/>
        </w:rPr>
        <w:t>tňuje dobrovoľnú viazanú podporu</w:t>
      </w:r>
      <w:r w:rsidRPr="00036A54">
        <w:rPr>
          <w:rFonts w:ascii="Arial" w:hAnsi="Arial" w:cs="Arial"/>
          <w:i/>
          <w:sz w:val="24"/>
          <w:szCs w:val="24"/>
        </w:rPr>
        <w:t xml:space="preserve"> viac ako 13% svojho ročného vnútroštátneho stropu, môže v zmysle výnimky použiť na účely viazanej podpory príjmu viac ako 10%</w:t>
      </w:r>
      <w:r>
        <w:rPr>
          <w:rFonts w:ascii="Arial" w:hAnsi="Arial" w:cs="Arial"/>
          <w:i/>
          <w:sz w:val="24"/>
          <w:szCs w:val="24"/>
        </w:rPr>
        <w:t xml:space="preserve">. </w:t>
      </w:r>
      <w:r w:rsidRPr="0050321C">
        <w:rPr>
          <w:rFonts w:ascii="Arial" w:hAnsi="Arial" w:cs="Arial"/>
          <w:i/>
          <w:sz w:val="24"/>
          <w:szCs w:val="24"/>
        </w:rPr>
        <w:t xml:space="preserve">Slovensko chce uplatňovať viazanú podporu príjmu na úrovni 15%, </w:t>
      </w:r>
      <w:proofErr w:type="spellStart"/>
      <w:r w:rsidRPr="0050321C">
        <w:rPr>
          <w:rFonts w:ascii="Arial" w:hAnsi="Arial" w:cs="Arial"/>
          <w:i/>
          <w:sz w:val="24"/>
          <w:szCs w:val="24"/>
        </w:rPr>
        <w:t>t.j</w:t>
      </w:r>
      <w:proofErr w:type="spellEnd"/>
      <w:r w:rsidRPr="0050321C">
        <w:rPr>
          <w:rFonts w:ascii="Arial" w:hAnsi="Arial" w:cs="Arial"/>
          <w:i/>
          <w:sz w:val="24"/>
          <w:szCs w:val="24"/>
        </w:rPr>
        <w:t>. 13% + 2% na bielkovinové plodiny).</w:t>
      </w:r>
    </w:p>
    <w:p w:rsidR="006E34A3" w:rsidRDefault="006E34A3" w:rsidP="006E34A3">
      <w:pPr>
        <w:spacing w:after="60" w:line="240" w:lineRule="auto"/>
        <w:jc w:val="both"/>
        <w:rPr>
          <w:rFonts w:ascii="Arial" w:hAnsi="Arial" w:cs="Arial"/>
          <w:sz w:val="24"/>
          <w:szCs w:val="24"/>
        </w:rPr>
      </w:pPr>
      <w:r>
        <w:rPr>
          <w:noProof/>
          <w:lang w:eastAsia="sk-SK"/>
        </w:rPr>
        <w:drawing>
          <wp:inline distT="0" distB="0" distL="0" distR="0" wp14:anchorId="3853CE29" wp14:editId="0E8BF7A0">
            <wp:extent cx="3086100" cy="3028950"/>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786E2E">
        <w:rPr>
          <w:rFonts w:ascii="Arial" w:hAnsi="Arial" w:cs="Arial"/>
          <w:sz w:val="24"/>
          <w:szCs w:val="24"/>
        </w:rPr>
        <w:t xml:space="preserve">  </w:t>
      </w:r>
      <w:r w:rsidR="00786E2E">
        <w:rPr>
          <w:noProof/>
          <w:lang w:eastAsia="sk-SK"/>
        </w:rPr>
        <w:drawing>
          <wp:inline distT="0" distB="0" distL="0" distR="0" wp14:anchorId="0EB76DDF" wp14:editId="2DFEAA14">
            <wp:extent cx="3267075" cy="3000375"/>
            <wp:effectExtent l="0" t="0" r="9525" b="9525"/>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F2CE3" w:rsidRDefault="006E34A3" w:rsidP="00DF2CE3">
      <w:pPr>
        <w:spacing w:after="0" w:line="240" w:lineRule="auto"/>
        <w:jc w:val="both"/>
        <w:rPr>
          <w:rFonts w:ascii="Arial" w:hAnsi="Arial" w:cs="Arial"/>
          <w:i/>
          <w:sz w:val="24"/>
          <w:szCs w:val="24"/>
        </w:rPr>
      </w:pPr>
      <w:r w:rsidRPr="00786E2E">
        <w:rPr>
          <w:rFonts w:ascii="Arial" w:hAnsi="Arial" w:cs="Arial"/>
          <w:i/>
          <w:sz w:val="24"/>
          <w:szCs w:val="24"/>
        </w:rPr>
        <w:t>Obr.: štruk</w:t>
      </w:r>
      <w:r w:rsidR="007D109C">
        <w:rPr>
          <w:rFonts w:ascii="Arial" w:hAnsi="Arial" w:cs="Arial"/>
          <w:i/>
          <w:sz w:val="24"/>
          <w:szCs w:val="24"/>
        </w:rPr>
        <w:t>túra prostriedkov</w:t>
      </w:r>
      <w:r w:rsidR="00DF2CE3">
        <w:rPr>
          <w:rFonts w:ascii="Arial" w:hAnsi="Arial" w:cs="Arial"/>
          <w:i/>
          <w:sz w:val="24"/>
          <w:szCs w:val="24"/>
        </w:rPr>
        <w:t xml:space="preserve"> na viazané</w:t>
      </w:r>
      <w:r w:rsidR="00DF2CE3">
        <w:rPr>
          <w:rFonts w:ascii="Arial" w:hAnsi="Arial" w:cs="Arial"/>
          <w:i/>
          <w:sz w:val="24"/>
          <w:szCs w:val="24"/>
        </w:rPr>
        <w:tab/>
      </w:r>
      <w:r w:rsidR="007D109C">
        <w:rPr>
          <w:rFonts w:ascii="Arial" w:hAnsi="Arial" w:cs="Arial"/>
          <w:i/>
          <w:sz w:val="24"/>
          <w:szCs w:val="24"/>
        </w:rPr>
        <w:tab/>
      </w:r>
      <w:r w:rsidR="00DF2CE3">
        <w:rPr>
          <w:rFonts w:ascii="Arial" w:hAnsi="Arial" w:cs="Arial"/>
          <w:i/>
          <w:sz w:val="24"/>
          <w:szCs w:val="24"/>
        </w:rPr>
        <w:t>Obr.2: podiel sektorov v SR na viazaných</w:t>
      </w:r>
    </w:p>
    <w:p w:rsidR="006E34A3" w:rsidRPr="00786E2E" w:rsidRDefault="006E34A3" w:rsidP="0050321C">
      <w:pPr>
        <w:spacing w:after="240" w:line="240" w:lineRule="auto"/>
        <w:jc w:val="both"/>
        <w:rPr>
          <w:rFonts w:ascii="Arial" w:hAnsi="Arial" w:cs="Arial"/>
          <w:i/>
          <w:sz w:val="24"/>
          <w:szCs w:val="24"/>
        </w:rPr>
      </w:pPr>
      <w:r w:rsidRPr="00786E2E">
        <w:rPr>
          <w:rFonts w:ascii="Arial" w:hAnsi="Arial" w:cs="Arial"/>
          <w:i/>
          <w:sz w:val="24"/>
          <w:szCs w:val="24"/>
        </w:rPr>
        <w:t>priame platby</w:t>
      </w:r>
      <w:r w:rsidR="007D109C">
        <w:rPr>
          <w:rFonts w:ascii="Arial" w:hAnsi="Arial" w:cs="Arial"/>
          <w:i/>
          <w:sz w:val="24"/>
          <w:szCs w:val="24"/>
        </w:rPr>
        <w:t xml:space="preserve"> v EÚ</w:t>
      </w:r>
      <w:r w:rsidRPr="00786E2E">
        <w:rPr>
          <w:rFonts w:ascii="Arial" w:hAnsi="Arial" w:cs="Arial"/>
          <w:i/>
          <w:sz w:val="24"/>
          <w:szCs w:val="24"/>
        </w:rPr>
        <w:t xml:space="preserve"> (2017), zdroj: EK, IPP.</w:t>
      </w:r>
      <w:r w:rsidR="00DF2CE3">
        <w:rPr>
          <w:rFonts w:ascii="Arial" w:hAnsi="Arial" w:cs="Arial"/>
          <w:i/>
          <w:sz w:val="24"/>
          <w:szCs w:val="24"/>
        </w:rPr>
        <w:tab/>
        <w:t>priamych platbách (2015-2017), zdroj: EK, IPP</w:t>
      </w:r>
      <w:r w:rsidR="006648CB">
        <w:rPr>
          <w:rFonts w:ascii="Arial" w:hAnsi="Arial" w:cs="Arial"/>
          <w:i/>
          <w:sz w:val="24"/>
          <w:szCs w:val="24"/>
        </w:rPr>
        <w:t>.</w:t>
      </w:r>
    </w:p>
    <w:p w:rsidR="00F75A4D" w:rsidRPr="00B62498" w:rsidRDefault="00B62498" w:rsidP="00B62498">
      <w:pPr>
        <w:pStyle w:val="Odsekzoznamu"/>
        <w:numPr>
          <w:ilvl w:val="0"/>
          <w:numId w:val="32"/>
        </w:numPr>
        <w:spacing w:after="120" w:line="240" w:lineRule="auto"/>
        <w:jc w:val="both"/>
        <w:rPr>
          <w:rFonts w:ascii="Arial" w:hAnsi="Arial" w:cs="Arial"/>
          <w:b/>
          <w:sz w:val="24"/>
          <w:szCs w:val="24"/>
        </w:rPr>
      </w:pPr>
      <w:r w:rsidRPr="00B62498">
        <w:rPr>
          <w:rFonts w:ascii="Arial" w:hAnsi="Arial" w:cs="Arial"/>
          <w:b/>
          <w:sz w:val="24"/>
          <w:szCs w:val="24"/>
        </w:rPr>
        <w:t>Externá konvergencia</w:t>
      </w:r>
    </w:p>
    <w:p w:rsidR="000226A5" w:rsidRDefault="00D81A52" w:rsidP="00A12214">
      <w:pPr>
        <w:spacing w:after="120" w:line="240" w:lineRule="auto"/>
        <w:jc w:val="both"/>
        <w:rPr>
          <w:rFonts w:ascii="Arial" w:hAnsi="Arial" w:cs="Arial"/>
          <w:sz w:val="24"/>
          <w:szCs w:val="24"/>
        </w:rPr>
      </w:pPr>
      <w:r>
        <w:rPr>
          <w:rFonts w:ascii="Arial" w:hAnsi="Arial" w:cs="Arial"/>
          <w:sz w:val="24"/>
          <w:szCs w:val="24"/>
        </w:rPr>
        <w:t xml:space="preserve">Po rozšírení Európskeho Spoločenstva v roku 2004 o 10 nových členských krajín strednej Európy, kedy vstúpila aj Slovenská republika s 55% priamych platieb úrovne EÚ, sa mali podmienky dorovnať do roku 2013. </w:t>
      </w:r>
      <w:r w:rsidR="0015335D">
        <w:rPr>
          <w:rFonts w:ascii="Arial" w:hAnsi="Arial" w:cs="Arial"/>
          <w:sz w:val="24"/>
          <w:szCs w:val="24"/>
        </w:rPr>
        <w:t xml:space="preserve">V súčasnosti sú priame platby v SR na úrovni asi </w:t>
      </w:r>
      <w:r w:rsidR="00465B84" w:rsidRPr="00465B84">
        <w:rPr>
          <w:rFonts w:ascii="Arial" w:hAnsi="Arial" w:cs="Arial"/>
          <w:sz w:val="24"/>
          <w:szCs w:val="24"/>
        </w:rPr>
        <w:t>88,3% priemeru EÚ</w:t>
      </w:r>
      <w:r w:rsidR="00465B84">
        <w:rPr>
          <w:rFonts w:ascii="Arial" w:hAnsi="Arial" w:cs="Arial"/>
          <w:sz w:val="24"/>
          <w:szCs w:val="24"/>
        </w:rPr>
        <w:t>-28 (</w:t>
      </w:r>
      <w:r w:rsidR="00465B84" w:rsidRPr="00465B84">
        <w:rPr>
          <w:rFonts w:ascii="Arial" w:hAnsi="Arial" w:cs="Arial"/>
          <w:i/>
          <w:sz w:val="24"/>
          <w:szCs w:val="24"/>
        </w:rPr>
        <w:t xml:space="preserve">hnedá </w:t>
      </w:r>
      <w:r w:rsidR="00465B84">
        <w:rPr>
          <w:rFonts w:ascii="Arial" w:hAnsi="Arial" w:cs="Arial"/>
          <w:sz w:val="24"/>
          <w:szCs w:val="24"/>
        </w:rPr>
        <w:t xml:space="preserve">línia - </w:t>
      </w:r>
      <w:r w:rsidR="00465B84" w:rsidRPr="00465B84">
        <w:rPr>
          <w:rFonts w:ascii="Arial" w:hAnsi="Arial" w:cs="Arial"/>
          <w:i/>
          <w:sz w:val="24"/>
          <w:szCs w:val="24"/>
        </w:rPr>
        <w:t>viď graf</w:t>
      </w:r>
      <w:r w:rsidR="00465B84">
        <w:rPr>
          <w:rFonts w:ascii="Arial" w:hAnsi="Arial" w:cs="Arial"/>
          <w:sz w:val="24"/>
          <w:szCs w:val="24"/>
        </w:rPr>
        <w:t>)</w:t>
      </w:r>
      <w:r w:rsidR="00465B84" w:rsidRPr="00465B84">
        <w:rPr>
          <w:rFonts w:ascii="Arial" w:hAnsi="Arial" w:cs="Arial"/>
          <w:sz w:val="24"/>
          <w:szCs w:val="24"/>
        </w:rPr>
        <w:t>.</w:t>
      </w:r>
      <w:r w:rsidR="0015335D">
        <w:rPr>
          <w:rFonts w:ascii="Arial" w:hAnsi="Arial" w:cs="Arial"/>
          <w:sz w:val="24"/>
          <w:szCs w:val="24"/>
        </w:rPr>
        <w:t xml:space="preserve"> </w:t>
      </w:r>
      <w:r w:rsidR="00B16C20">
        <w:rPr>
          <w:rFonts w:ascii="Arial" w:hAnsi="Arial" w:cs="Arial"/>
          <w:sz w:val="24"/>
          <w:szCs w:val="24"/>
        </w:rPr>
        <w:t xml:space="preserve">Aby sa postupne vyrovnávali rozdiely vo financovaní medzi členskými </w:t>
      </w:r>
      <w:r w:rsidR="00B16C20">
        <w:rPr>
          <w:rFonts w:ascii="Arial" w:hAnsi="Arial" w:cs="Arial"/>
          <w:sz w:val="24"/>
          <w:szCs w:val="24"/>
        </w:rPr>
        <w:lastRenderedPageBreak/>
        <w:t xml:space="preserve">krajinami EÚ, Európska Komisia navrhla tzv. „externú konvergenciu priamych platieb“ (približovanie). Slovensko by malo do roku 2027 dosiahnuť </w:t>
      </w:r>
      <w:r w:rsidR="00B16C20" w:rsidRPr="003C063E">
        <w:rPr>
          <w:rFonts w:ascii="Arial" w:hAnsi="Arial" w:cs="Arial"/>
          <w:b/>
          <w:sz w:val="24"/>
          <w:szCs w:val="24"/>
        </w:rPr>
        <w:t>82% priemeru podpôr v EÚ</w:t>
      </w:r>
      <w:r w:rsidR="00B16C20">
        <w:rPr>
          <w:rFonts w:ascii="Arial" w:hAnsi="Arial" w:cs="Arial"/>
          <w:sz w:val="24"/>
          <w:szCs w:val="24"/>
        </w:rPr>
        <w:t>.</w:t>
      </w:r>
    </w:p>
    <w:p w:rsidR="00BD6E09" w:rsidRDefault="00BD6E09" w:rsidP="00A12214">
      <w:pPr>
        <w:spacing w:after="120" w:line="240" w:lineRule="auto"/>
        <w:jc w:val="both"/>
        <w:rPr>
          <w:rFonts w:ascii="Arial" w:hAnsi="Arial" w:cs="Arial"/>
          <w:sz w:val="24"/>
          <w:szCs w:val="24"/>
        </w:rPr>
      </w:pPr>
      <w:r>
        <w:rPr>
          <w:noProof/>
          <w:lang w:eastAsia="sk-SK"/>
        </w:rPr>
        <w:drawing>
          <wp:inline distT="0" distB="0" distL="0" distR="0" wp14:anchorId="2E779A41" wp14:editId="6C65B7BE">
            <wp:extent cx="6134100" cy="2466975"/>
            <wp:effectExtent l="0" t="0" r="0"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65B84" w:rsidRPr="00465B84" w:rsidRDefault="00465B84" w:rsidP="00A12214">
      <w:pPr>
        <w:spacing w:after="120" w:line="240" w:lineRule="auto"/>
        <w:jc w:val="both"/>
        <w:rPr>
          <w:rFonts w:ascii="Arial" w:hAnsi="Arial" w:cs="Arial"/>
          <w:i/>
          <w:sz w:val="24"/>
          <w:szCs w:val="24"/>
        </w:rPr>
      </w:pPr>
      <w:r w:rsidRPr="00465B84">
        <w:rPr>
          <w:rFonts w:ascii="Arial" w:hAnsi="Arial" w:cs="Arial"/>
          <w:i/>
          <w:sz w:val="24"/>
          <w:szCs w:val="24"/>
        </w:rPr>
        <w:t>Graf: priemerné sadzby priamych platieb v EÚ, v euro/ha, v r.2016, zdroj: EK, IPP.</w:t>
      </w:r>
    </w:p>
    <w:p w:rsidR="00706ADD" w:rsidRDefault="000226A5" w:rsidP="00A12214">
      <w:pPr>
        <w:spacing w:after="120" w:line="240" w:lineRule="auto"/>
        <w:jc w:val="both"/>
        <w:rPr>
          <w:rFonts w:ascii="Arial" w:hAnsi="Arial" w:cs="Arial"/>
          <w:sz w:val="24"/>
          <w:szCs w:val="24"/>
        </w:rPr>
      </w:pPr>
      <w:r>
        <w:rPr>
          <w:rFonts w:ascii="Arial" w:hAnsi="Arial" w:cs="Arial"/>
          <w:sz w:val="24"/>
          <w:szCs w:val="24"/>
        </w:rPr>
        <w:t>Na viacerých fórach poľnohospodárskej štátnej správy, ale aj samospráv sa ozývajú hlasy, že tento návrh je pre väčšinu „nových“ členských krajín neprijateľný a požadujeme sk</w:t>
      </w:r>
      <w:r w:rsidR="003C063E">
        <w:rPr>
          <w:rFonts w:ascii="Arial" w:hAnsi="Arial" w:cs="Arial"/>
          <w:sz w:val="24"/>
          <w:szCs w:val="24"/>
        </w:rPr>
        <w:t>orší termín vyrovnania hektárovej sadzby</w:t>
      </w:r>
      <w:r>
        <w:rPr>
          <w:rFonts w:ascii="Arial" w:hAnsi="Arial" w:cs="Arial"/>
          <w:sz w:val="24"/>
          <w:szCs w:val="24"/>
        </w:rPr>
        <w:t xml:space="preserve"> priamych platieb vo všetkých krajinách EÚ. Niektoré z krajín, napr. Maďarsko, Česká republika a Slovinsko by však mohli viac stratiť, ako získať.</w:t>
      </w:r>
    </w:p>
    <w:p w:rsidR="003C063E" w:rsidRDefault="003C063E" w:rsidP="00A12214">
      <w:pPr>
        <w:spacing w:after="120" w:line="240" w:lineRule="auto"/>
        <w:jc w:val="both"/>
        <w:rPr>
          <w:rFonts w:ascii="Arial" w:hAnsi="Arial" w:cs="Arial"/>
          <w:sz w:val="24"/>
          <w:szCs w:val="24"/>
        </w:rPr>
      </w:pPr>
      <w:r>
        <w:rPr>
          <w:rFonts w:ascii="Arial" w:hAnsi="Arial" w:cs="Arial"/>
          <w:sz w:val="24"/>
          <w:szCs w:val="24"/>
        </w:rPr>
        <w:t>Aj o tomto návrhu teda ešte prebieha diskusia. Priame platby totiž tvoria len jednu časť možných podpôr pre poľnohospodársku výrobu a rozvoj vidieka. Na túto otázku sa teda treba pozrieť komplexne, aby sme videli všetky, a teda aj iné možnosti na dosiahnutie cieľov Slovenskej republiky v rámci návrhu Spoločnej poľnohospodárskej politiky EÚ pre roky 2021-2027.</w:t>
      </w:r>
    </w:p>
    <w:p w:rsidR="00384338" w:rsidRDefault="00706ADD" w:rsidP="00A12214">
      <w:pPr>
        <w:spacing w:after="120" w:line="240" w:lineRule="auto"/>
        <w:jc w:val="both"/>
        <w:rPr>
          <w:rFonts w:ascii="Arial" w:hAnsi="Arial" w:cs="Arial"/>
          <w:sz w:val="24"/>
          <w:szCs w:val="24"/>
        </w:rPr>
      </w:pPr>
      <w:r w:rsidRPr="00706ADD">
        <w:rPr>
          <w:rFonts w:ascii="Arial" w:hAnsi="Arial" w:cs="Arial"/>
          <w:sz w:val="24"/>
          <w:szCs w:val="24"/>
          <w:u w:val="single"/>
        </w:rPr>
        <w:t>Riadne predbežné stanovisko SR</w:t>
      </w:r>
      <w:r w:rsidR="000226A5">
        <w:rPr>
          <w:rFonts w:ascii="Arial" w:hAnsi="Arial" w:cs="Arial"/>
          <w:sz w:val="24"/>
          <w:szCs w:val="24"/>
        </w:rPr>
        <w:t>:</w:t>
      </w:r>
      <w:r w:rsidR="007B0B01">
        <w:rPr>
          <w:rFonts w:ascii="Arial" w:hAnsi="Arial" w:cs="Arial"/>
          <w:sz w:val="24"/>
          <w:szCs w:val="24"/>
        </w:rPr>
        <w:t> požadujeme z</w:t>
      </w:r>
      <w:r w:rsidR="00F75A4D">
        <w:rPr>
          <w:rFonts w:ascii="Arial" w:hAnsi="Arial" w:cs="Arial"/>
          <w:sz w:val="24"/>
          <w:szCs w:val="24"/>
        </w:rPr>
        <w:t>výšeni</w:t>
      </w:r>
      <w:r w:rsidR="007B0B01">
        <w:rPr>
          <w:rFonts w:ascii="Arial" w:hAnsi="Arial" w:cs="Arial"/>
          <w:sz w:val="24"/>
          <w:szCs w:val="24"/>
        </w:rPr>
        <w:t>e tempa externej konvergencie.</w:t>
      </w:r>
    </w:p>
    <w:p w:rsidR="00491896" w:rsidRDefault="00491896" w:rsidP="00A12214">
      <w:pPr>
        <w:spacing w:after="120" w:line="240" w:lineRule="auto"/>
        <w:jc w:val="both"/>
        <w:rPr>
          <w:rFonts w:ascii="Arial" w:hAnsi="Arial" w:cs="Arial"/>
          <w:sz w:val="24"/>
          <w:szCs w:val="24"/>
        </w:rPr>
      </w:pPr>
    </w:p>
    <w:p w:rsidR="00B67A35" w:rsidRDefault="003D4BEB" w:rsidP="004D244E">
      <w:pPr>
        <w:spacing w:after="60" w:line="240" w:lineRule="auto"/>
        <w:jc w:val="both"/>
        <w:rPr>
          <w:rFonts w:ascii="Arial" w:hAnsi="Arial" w:cs="Arial"/>
          <w:sz w:val="24"/>
          <w:szCs w:val="24"/>
        </w:rPr>
      </w:pPr>
      <w:r>
        <w:rPr>
          <w:rFonts w:ascii="Arial" w:hAnsi="Arial" w:cs="Arial"/>
          <w:sz w:val="24"/>
          <w:szCs w:val="24"/>
        </w:rPr>
        <w:t>Uvedené</w:t>
      </w:r>
      <w:r w:rsidR="002A3391" w:rsidRPr="00776964">
        <w:rPr>
          <w:rFonts w:ascii="Arial" w:hAnsi="Arial" w:cs="Arial"/>
          <w:sz w:val="24"/>
          <w:szCs w:val="24"/>
        </w:rPr>
        <w:t xml:space="preserve"> pojmy sú však len jednými z mnohých v komplexnej Spoločnej poľnohospodárskej politike, ktorá poskytuje </w:t>
      </w:r>
      <w:r w:rsidR="00776964" w:rsidRPr="00776964">
        <w:rPr>
          <w:rFonts w:ascii="Arial" w:hAnsi="Arial" w:cs="Arial"/>
          <w:sz w:val="24"/>
          <w:szCs w:val="24"/>
        </w:rPr>
        <w:t xml:space="preserve">veľa alternatív a </w:t>
      </w:r>
      <w:r w:rsidR="007653A5" w:rsidRPr="00776964">
        <w:rPr>
          <w:rFonts w:ascii="Arial" w:hAnsi="Arial" w:cs="Arial"/>
          <w:sz w:val="24"/>
          <w:szCs w:val="24"/>
        </w:rPr>
        <w:t>možností ako získať a pr</w:t>
      </w:r>
      <w:r w:rsidR="00776964" w:rsidRPr="00776964">
        <w:rPr>
          <w:rFonts w:ascii="Arial" w:hAnsi="Arial" w:cs="Arial"/>
          <w:sz w:val="24"/>
          <w:szCs w:val="24"/>
        </w:rPr>
        <w:t>erozdeliť prostriedky. Najdôležite</w:t>
      </w:r>
      <w:r>
        <w:rPr>
          <w:rFonts w:ascii="Arial" w:hAnsi="Arial" w:cs="Arial"/>
          <w:sz w:val="24"/>
          <w:szCs w:val="24"/>
        </w:rPr>
        <w:t>jšie</w:t>
      </w:r>
      <w:r w:rsidR="007653A5" w:rsidRPr="00776964">
        <w:rPr>
          <w:rFonts w:ascii="Arial" w:hAnsi="Arial" w:cs="Arial"/>
          <w:sz w:val="24"/>
          <w:szCs w:val="24"/>
        </w:rPr>
        <w:t xml:space="preserve"> bude zmeniť myslenie a prístup, pretože príjmy sa budú o</w:t>
      </w:r>
      <w:r w:rsidR="00776964" w:rsidRPr="00776964">
        <w:rPr>
          <w:rFonts w:ascii="Arial" w:hAnsi="Arial" w:cs="Arial"/>
          <w:sz w:val="24"/>
          <w:szCs w:val="24"/>
        </w:rPr>
        <w:t>dvíjať od dosiahnutých cieľov, ktoré si vopred určí každá členská krajina podľa seba</w:t>
      </w:r>
      <w:r w:rsidR="007653A5" w:rsidRPr="00776964">
        <w:rPr>
          <w:rFonts w:ascii="Arial" w:hAnsi="Arial" w:cs="Arial"/>
          <w:sz w:val="24"/>
          <w:szCs w:val="24"/>
        </w:rPr>
        <w:t xml:space="preserve"> (</w:t>
      </w:r>
      <w:r w:rsidR="00776964" w:rsidRPr="00776964">
        <w:rPr>
          <w:rFonts w:ascii="Arial" w:hAnsi="Arial" w:cs="Arial"/>
          <w:sz w:val="24"/>
          <w:szCs w:val="24"/>
        </w:rPr>
        <w:t xml:space="preserve">a </w:t>
      </w:r>
      <w:r w:rsidR="007653A5" w:rsidRPr="00776964">
        <w:rPr>
          <w:rFonts w:ascii="Arial" w:hAnsi="Arial" w:cs="Arial"/>
          <w:sz w:val="24"/>
          <w:szCs w:val="24"/>
        </w:rPr>
        <w:t xml:space="preserve">SWOT analýzy) v rámci Národného strategického plánu na obdobie 2021-2027. Ako je na tom Slovenská republika? Sme pripravení? Ako a dokedy bude ešte prebiehať tento proces? </w:t>
      </w:r>
      <w:r w:rsidR="005D3589" w:rsidRPr="00776964">
        <w:rPr>
          <w:rFonts w:ascii="Arial" w:hAnsi="Arial" w:cs="Arial"/>
          <w:sz w:val="24"/>
          <w:szCs w:val="24"/>
        </w:rPr>
        <w:t xml:space="preserve">O tom si povieme viac nabudúce... </w:t>
      </w:r>
      <w:r w:rsidR="005D3589" w:rsidRPr="00776964">
        <w:rPr>
          <w:rFonts w:ascii="Arial" w:hAnsi="Arial" w:cs="Arial"/>
          <w:sz w:val="24"/>
          <w:szCs w:val="24"/>
        </w:rPr>
        <w:sym w:font="Wingdings" w:char="F04A"/>
      </w:r>
    </w:p>
    <w:p w:rsidR="00EA10E6" w:rsidRDefault="00EA10E6" w:rsidP="00B67A35">
      <w:pPr>
        <w:spacing w:after="0" w:line="240" w:lineRule="auto"/>
        <w:rPr>
          <w:rFonts w:ascii="Arial" w:hAnsi="Arial" w:cs="Arial"/>
          <w:i/>
          <w:sz w:val="24"/>
          <w:szCs w:val="24"/>
          <w:u w:val="single"/>
        </w:rPr>
      </w:pPr>
    </w:p>
    <w:p w:rsidR="00B67A35" w:rsidRPr="00E05B88" w:rsidRDefault="009A3BA8" w:rsidP="00B67A35">
      <w:pPr>
        <w:spacing w:after="0" w:line="240" w:lineRule="auto"/>
        <w:rPr>
          <w:rFonts w:ascii="Arial" w:hAnsi="Arial" w:cs="Arial"/>
          <w:i/>
          <w:sz w:val="24"/>
          <w:szCs w:val="24"/>
          <w:u w:val="single"/>
        </w:rPr>
      </w:pPr>
      <w:r w:rsidRPr="00E05B88">
        <w:rPr>
          <w:rFonts w:ascii="Arial" w:hAnsi="Arial" w:cs="Arial"/>
          <w:i/>
          <w:sz w:val="24"/>
          <w:szCs w:val="24"/>
          <w:u w:val="single"/>
        </w:rPr>
        <w:t>SERIÁL obsahuje</w:t>
      </w:r>
      <w:r w:rsidR="00E05B88" w:rsidRPr="00E05B88">
        <w:rPr>
          <w:rFonts w:ascii="Arial" w:hAnsi="Arial" w:cs="Arial"/>
          <w:i/>
          <w:sz w:val="24"/>
          <w:szCs w:val="24"/>
          <w:u w:val="single"/>
        </w:rPr>
        <w:t xml:space="preserve"> tieto témy, ktoré budeme prinášať v týždňových intervaloch na našej stránke:</w:t>
      </w:r>
      <w:r w:rsidR="00B67A35" w:rsidRPr="00E05B88">
        <w:rPr>
          <w:rFonts w:ascii="Arial" w:hAnsi="Arial" w:cs="Arial"/>
          <w:i/>
          <w:sz w:val="24"/>
          <w:szCs w:val="24"/>
          <w:u w:val="single"/>
        </w:rPr>
        <w:t xml:space="preserve"> </w:t>
      </w:r>
    </w:p>
    <w:p w:rsidR="00F45615" w:rsidRPr="00AD2669" w:rsidRDefault="00F45615" w:rsidP="00F45615">
      <w:pPr>
        <w:pStyle w:val="Odsekzoznamu"/>
        <w:numPr>
          <w:ilvl w:val="0"/>
          <w:numId w:val="3"/>
        </w:numPr>
        <w:spacing w:line="256" w:lineRule="auto"/>
        <w:rPr>
          <w:rFonts w:ascii="Arial" w:hAnsi="Arial" w:cs="Arial"/>
          <w:b/>
          <w:i/>
          <w:sz w:val="24"/>
          <w:szCs w:val="24"/>
        </w:rPr>
      </w:pPr>
      <w:r w:rsidRPr="00AD2669">
        <w:rPr>
          <w:rFonts w:ascii="Arial" w:hAnsi="Arial" w:cs="Arial"/>
          <w:b/>
          <w:i/>
          <w:sz w:val="24"/>
          <w:szCs w:val="24"/>
        </w:rPr>
        <w:t>Čo to je SPP EÚ a prečo sa mení?</w:t>
      </w:r>
    </w:p>
    <w:p w:rsidR="00F45615" w:rsidRPr="000F6729" w:rsidRDefault="00F45615" w:rsidP="00F45615">
      <w:pPr>
        <w:pStyle w:val="Odsekzoznamu"/>
        <w:numPr>
          <w:ilvl w:val="0"/>
          <w:numId w:val="3"/>
        </w:numPr>
        <w:spacing w:line="256" w:lineRule="auto"/>
        <w:rPr>
          <w:rFonts w:ascii="Arial" w:hAnsi="Arial" w:cs="Arial"/>
          <w:b/>
          <w:i/>
          <w:sz w:val="24"/>
          <w:szCs w:val="24"/>
        </w:rPr>
      </w:pPr>
      <w:r w:rsidRPr="000F6729">
        <w:rPr>
          <w:rFonts w:ascii="Arial" w:hAnsi="Arial" w:cs="Arial"/>
          <w:b/>
          <w:i/>
          <w:sz w:val="24"/>
          <w:szCs w:val="24"/>
        </w:rPr>
        <w:t>9 hlavných cieľov SPP po 2021</w:t>
      </w:r>
    </w:p>
    <w:p w:rsidR="00F45615" w:rsidRPr="003C501D" w:rsidRDefault="00F45615" w:rsidP="00F45615">
      <w:pPr>
        <w:pStyle w:val="Odsekzoznamu"/>
        <w:numPr>
          <w:ilvl w:val="0"/>
          <w:numId w:val="3"/>
        </w:numPr>
        <w:spacing w:line="256" w:lineRule="auto"/>
        <w:rPr>
          <w:rFonts w:ascii="Arial" w:hAnsi="Arial" w:cs="Arial"/>
          <w:b/>
          <w:i/>
          <w:sz w:val="24"/>
          <w:szCs w:val="24"/>
        </w:rPr>
      </w:pPr>
      <w:r w:rsidRPr="003C501D">
        <w:rPr>
          <w:rFonts w:ascii="Arial" w:hAnsi="Arial" w:cs="Arial"/>
          <w:b/>
          <w:i/>
          <w:sz w:val="24"/>
          <w:szCs w:val="24"/>
        </w:rPr>
        <w:t>Zelená architektúra budúcej SPP</w:t>
      </w:r>
    </w:p>
    <w:p w:rsidR="00F45615" w:rsidRPr="00ED3F30" w:rsidRDefault="00F45615" w:rsidP="00F45615">
      <w:pPr>
        <w:pStyle w:val="Odsekzoznamu"/>
        <w:numPr>
          <w:ilvl w:val="0"/>
          <w:numId w:val="3"/>
        </w:numPr>
        <w:spacing w:line="256" w:lineRule="auto"/>
        <w:rPr>
          <w:rFonts w:ascii="Arial" w:hAnsi="Arial" w:cs="Arial"/>
          <w:b/>
          <w:i/>
          <w:sz w:val="24"/>
          <w:szCs w:val="24"/>
        </w:rPr>
      </w:pPr>
      <w:r w:rsidRPr="00ED3F30">
        <w:rPr>
          <w:rFonts w:ascii="Arial" w:hAnsi="Arial" w:cs="Arial"/>
          <w:b/>
          <w:i/>
          <w:sz w:val="24"/>
          <w:szCs w:val="24"/>
        </w:rPr>
        <w:t>Finančný rámec pre EÚ a SR</w:t>
      </w:r>
    </w:p>
    <w:p w:rsidR="00F45615" w:rsidRPr="00A06F3A" w:rsidRDefault="00F45615" w:rsidP="00F45615">
      <w:pPr>
        <w:pStyle w:val="Odsekzoznamu"/>
        <w:numPr>
          <w:ilvl w:val="0"/>
          <w:numId w:val="3"/>
        </w:numPr>
        <w:spacing w:line="256" w:lineRule="auto"/>
        <w:rPr>
          <w:rFonts w:ascii="Arial" w:hAnsi="Arial" w:cs="Arial"/>
          <w:b/>
          <w:i/>
          <w:sz w:val="24"/>
          <w:szCs w:val="24"/>
        </w:rPr>
      </w:pPr>
      <w:r w:rsidRPr="00A06F3A">
        <w:rPr>
          <w:rFonts w:ascii="Arial" w:hAnsi="Arial" w:cs="Arial"/>
          <w:b/>
          <w:i/>
          <w:sz w:val="24"/>
          <w:szCs w:val="24"/>
        </w:rPr>
        <w:t>Hlavné priame podpory I. piliera</w:t>
      </w:r>
    </w:p>
    <w:p w:rsidR="00F45615" w:rsidRPr="007F0BC6" w:rsidRDefault="00F45615" w:rsidP="00F45615">
      <w:pPr>
        <w:pStyle w:val="Odsekzoznamu"/>
        <w:numPr>
          <w:ilvl w:val="0"/>
          <w:numId w:val="3"/>
        </w:numPr>
        <w:spacing w:line="256" w:lineRule="auto"/>
        <w:rPr>
          <w:rFonts w:ascii="Arial" w:hAnsi="Arial" w:cs="Arial"/>
          <w:b/>
          <w:i/>
          <w:sz w:val="24"/>
          <w:szCs w:val="24"/>
        </w:rPr>
      </w:pPr>
      <w:r w:rsidRPr="007F0BC6">
        <w:rPr>
          <w:rFonts w:ascii="Arial" w:hAnsi="Arial" w:cs="Arial"/>
          <w:b/>
          <w:i/>
          <w:sz w:val="24"/>
          <w:szCs w:val="24"/>
        </w:rPr>
        <w:t>Opatrenia II. piliera na rozvoj vidieka</w:t>
      </w:r>
    </w:p>
    <w:p w:rsidR="00F45615" w:rsidRPr="009045D6" w:rsidRDefault="00F45615" w:rsidP="00F45615">
      <w:pPr>
        <w:pStyle w:val="Odsekzoznamu"/>
        <w:numPr>
          <w:ilvl w:val="0"/>
          <w:numId w:val="3"/>
        </w:numPr>
        <w:spacing w:line="256" w:lineRule="auto"/>
        <w:rPr>
          <w:rFonts w:ascii="Arial" w:hAnsi="Arial" w:cs="Arial"/>
          <w:b/>
          <w:i/>
          <w:sz w:val="24"/>
          <w:szCs w:val="24"/>
        </w:rPr>
      </w:pPr>
      <w:r w:rsidRPr="009045D6">
        <w:rPr>
          <w:rFonts w:ascii="Arial" w:hAnsi="Arial" w:cs="Arial"/>
          <w:b/>
          <w:i/>
          <w:sz w:val="24"/>
          <w:szCs w:val="24"/>
        </w:rPr>
        <w:t>Spoločná organizácia trhu s obilninami</w:t>
      </w:r>
    </w:p>
    <w:p w:rsidR="00F45615" w:rsidRPr="00F45615" w:rsidRDefault="00F45615" w:rsidP="00F45615">
      <w:pPr>
        <w:pStyle w:val="Odsekzoznamu"/>
        <w:numPr>
          <w:ilvl w:val="0"/>
          <w:numId w:val="3"/>
        </w:numPr>
        <w:spacing w:line="256" w:lineRule="auto"/>
        <w:rPr>
          <w:rFonts w:ascii="Arial" w:hAnsi="Arial" w:cs="Arial"/>
          <w:i/>
          <w:sz w:val="24"/>
          <w:szCs w:val="24"/>
        </w:rPr>
      </w:pPr>
      <w:r w:rsidRPr="00C126B2">
        <w:rPr>
          <w:rFonts w:ascii="Arial" w:hAnsi="Arial" w:cs="Arial"/>
          <w:b/>
          <w:i/>
          <w:sz w:val="24"/>
          <w:szCs w:val="24"/>
        </w:rPr>
        <w:t>Otvorené otázky</w:t>
      </w:r>
      <w:r w:rsidR="00C126B2">
        <w:rPr>
          <w:rFonts w:ascii="Arial" w:hAnsi="Arial" w:cs="Arial"/>
          <w:b/>
          <w:i/>
          <w:sz w:val="24"/>
          <w:szCs w:val="24"/>
        </w:rPr>
        <w:t xml:space="preserve"> a pojmy</w:t>
      </w:r>
      <w:r w:rsidRPr="00F45615">
        <w:rPr>
          <w:rFonts w:ascii="Arial" w:hAnsi="Arial" w:cs="Arial"/>
          <w:i/>
          <w:sz w:val="24"/>
          <w:szCs w:val="24"/>
        </w:rPr>
        <w:t xml:space="preserve"> (</w:t>
      </w:r>
      <w:proofErr w:type="spellStart"/>
      <w:r w:rsidRPr="00F45615">
        <w:rPr>
          <w:rFonts w:ascii="Arial" w:hAnsi="Arial" w:cs="Arial"/>
          <w:i/>
          <w:sz w:val="24"/>
          <w:szCs w:val="24"/>
        </w:rPr>
        <w:t>stropovanie</w:t>
      </w:r>
      <w:proofErr w:type="spellEnd"/>
      <w:r w:rsidRPr="00F45615">
        <w:rPr>
          <w:rFonts w:ascii="Arial" w:hAnsi="Arial" w:cs="Arial"/>
          <w:i/>
          <w:sz w:val="24"/>
          <w:szCs w:val="24"/>
        </w:rPr>
        <w:t xml:space="preserve">, </w:t>
      </w:r>
      <w:proofErr w:type="spellStart"/>
      <w:r w:rsidRPr="00F45615">
        <w:rPr>
          <w:rFonts w:ascii="Arial" w:hAnsi="Arial" w:cs="Arial"/>
          <w:i/>
          <w:sz w:val="24"/>
          <w:szCs w:val="24"/>
        </w:rPr>
        <w:t>redistribúcia</w:t>
      </w:r>
      <w:proofErr w:type="spellEnd"/>
      <w:r w:rsidRPr="00F45615">
        <w:rPr>
          <w:rFonts w:ascii="Arial" w:hAnsi="Arial" w:cs="Arial"/>
          <w:i/>
          <w:sz w:val="24"/>
          <w:szCs w:val="24"/>
        </w:rPr>
        <w:t>, definícia aktívneho farmára, atď.)</w:t>
      </w:r>
    </w:p>
    <w:p w:rsidR="00F45615" w:rsidRPr="00F45615" w:rsidRDefault="00F45615" w:rsidP="00F45615">
      <w:pPr>
        <w:pStyle w:val="Odsekzoznamu"/>
        <w:numPr>
          <w:ilvl w:val="0"/>
          <w:numId w:val="3"/>
        </w:numPr>
        <w:spacing w:line="256" w:lineRule="auto"/>
        <w:rPr>
          <w:rFonts w:ascii="Arial" w:hAnsi="Arial" w:cs="Arial"/>
          <w:i/>
          <w:sz w:val="24"/>
          <w:szCs w:val="24"/>
        </w:rPr>
      </w:pPr>
      <w:r w:rsidRPr="00F45615">
        <w:rPr>
          <w:rFonts w:ascii="Arial" w:hAnsi="Arial" w:cs="Arial"/>
          <w:i/>
          <w:sz w:val="24"/>
          <w:szCs w:val="24"/>
        </w:rPr>
        <w:t>Časový rámec a očakávané kroky</w:t>
      </w:r>
    </w:p>
    <w:p w:rsidR="00CC4BBD" w:rsidRDefault="00F45615" w:rsidP="00F45615">
      <w:pPr>
        <w:pStyle w:val="Odsekzoznamu"/>
        <w:numPr>
          <w:ilvl w:val="0"/>
          <w:numId w:val="3"/>
        </w:numPr>
        <w:spacing w:line="256" w:lineRule="auto"/>
        <w:rPr>
          <w:rFonts w:ascii="Arial" w:hAnsi="Arial" w:cs="Arial"/>
          <w:i/>
          <w:sz w:val="24"/>
          <w:szCs w:val="24"/>
        </w:rPr>
      </w:pPr>
      <w:r w:rsidRPr="00F45615">
        <w:rPr>
          <w:rFonts w:ascii="Arial" w:hAnsi="Arial" w:cs="Arial"/>
          <w:i/>
          <w:sz w:val="24"/>
          <w:szCs w:val="24"/>
        </w:rPr>
        <w:t>Prechodné obdobie a najbližšie roky</w:t>
      </w:r>
    </w:p>
    <w:p w:rsidR="00370DFB" w:rsidRPr="00370DFB" w:rsidRDefault="00370DFB" w:rsidP="00370DFB">
      <w:pPr>
        <w:spacing w:after="0" w:line="240" w:lineRule="auto"/>
        <w:jc w:val="both"/>
        <w:rPr>
          <w:rFonts w:ascii="Arial" w:hAnsi="Arial" w:cs="Arial"/>
          <w:i/>
          <w:sz w:val="24"/>
          <w:szCs w:val="24"/>
        </w:rPr>
      </w:pPr>
      <w:r w:rsidRPr="00370DFB">
        <w:rPr>
          <w:rFonts w:ascii="Arial" w:hAnsi="Arial" w:cs="Arial"/>
          <w:i/>
          <w:sz w:val="24"/>
          <w:szCs w:val="24"/>
        </w:rPr>
        <w:t xml:space="preserve">Spracovala: Ing. Vladimíra Debnárová, výkonná tajomníčka Združenia </w:t>
      </w:r>
      <w:r w:rsidR="00BA6735">
        <w:rPr>
          <w:rFonts w:ascii="Arial" w:hAnsi="Arial" w:cs="Arial"/>
          <w:i/>
          <w:sz w:val="24"/>
          <w:szCs w:val="24"/>
        </w:rPr>
        <w:t>pestovateľov obilnín, 17</w:t>
      </w:r>
      <w:r w:rsidR="007F0BC6">
        <w:rPr>
          <w:rFonts w:ascii="Arial" w:hAnsi="Arial" w:cs="Arial"/>
          <w:i/>
          <w:sz w:val="24"/>
          <w:szCs w:val="24"/>
        </w:rPr>
        <w:t>.12</w:t>
      </w:r>
      <w:r>
        <w:rPr>
          <w:rFonts w:ascii="Arial" w:hAnsi="Arial" w:cs="Arial"/>
          <w:i/>
          <w:sz w:val="24"/>
          <w:szCs w:val="24"/>
        </w:rPr>
        <w:t>.</w:t>
      </w:r>
      <w:r w:rsidRPr="00370DFB">
        <w:rPr>
          <w:rFonts w:ascii="Arial" w:hAnsi="Arial" w:cs="Arial"/>
          <w:i/>
          <w:sz w:val="24"/>
          <w:szCs w:val="24"/>
        </w:rPr>
        <w:t xml:space="preserve"> 2019.</w:t>
      </w:r>
    </w:p>
    <w:p w:rsidR="00370DFB" w:rsidRDefault="00370DFB" w:rsidP="00370DFB">
      <w:pPr>
        <w:spacing w:after="0" w:line="240" w:lineRule="auto"/>
        <w:jc w:val="both"/>
        <w:rPr>
          <w:rFonts w:ascii="Arial" w:hAnsi="Arial" w:cs="Arial"/>
          <w:b/>
          <w:i/>
          <w:color w:val="385623" w:themeColor="accent6" w:themeShade="80"/>
          <w:sz w:val="24"/>
          <w:szCs w:val="24"/>
        </w:rPr>
      </w:pPr>
    </w:p>
    <w:p w:rsidR="00370DFB" w:rsidRPr="004D244E" w:rsidRDefault="00ED3F30" w:rsidP="004D244E">
      <w:pPr>
        <w:spacing w:after="0" w:line="240" w:lineRule="auto"/>
        <w:jc w:val="both"/>
        <w:rPr>
          <w:rFonts w:ascii="Arial" w:hAnsi="Arial" w:cs="Arial"/>
          <w:b/>
          <w:i/>
          <w:color w:val="385623" w:themeColor="accent6" w:themeShade="80"/>
          <w:sz w:val="24"/>
          <w:szCs w:val="24"/>
        </w:rPr>
      </w:pPr>
      <w:r>
        <w:rPr>
          <w:rFonts w:ascii="Arial" w:hAnsi="Arial" w:cs="Arial"/>
          <w:b/>
          <w:i/>
          <w:color w:val="385623" w:themeColor="accent6" w:themeShade="80"/>
          <w:sz w:val="24"/>
          <w:szCs w:val="24"/>
        </w:rPr>
        <w:t xml:space="preserve">Ak sa Vám páči naša práca a chcete </w:t>
      </w:r>
      <w:r w:rsidR="0061205A">
        <w:rPr>
          <w:rFonts w:ascii="Arial" w:hAnsi="Arial" w:cs="Arial"/>
          <w:b/>
          <w:i/>
          <w:color w:val="385623" w:themeColor="accent6" w:themeShade="80"/>
          <w:sz w:val="24"/>
          <w:szCs w:val="24"/>
        </w:rPr>
        <w:t>nás podporiť, staňte sa</w:t>
      </w:r>
      <w:r>
        <w:rPr>
          <w:rFonts w:ascii="Arial" w:hAnsi="Arial" w:cs="Arial"/>
          <w:b/>
          <w:i/>
          <w:color w:val="385623" w:themeColor="accent6" w:themeShade="80"/>
          <w:sz w:val="24"/>
          <w:szCs w:val="24"/>
        </w:rPr>
        <w:t xml:space="preserve"> členom</w:t>
      </w:r>
      <w:r w:rsidR="0061205A">
        <w:rPr>
          <w:rFonts w:ascii="Arial" w:hAnsi="Arial" w:cs="Arial"/>
          <w:b/>
          <w:i/>
          <w:color w:val="385623" w:themeColor="accent6" w:themeShade="80"/>
          <w:sz w:val="24"/>
          <w:szCs w:val="24"/>
        </w:rPr>
        <w:t xml:space="preserve"> Združenia pestovateľov obilnín -</w:t>
      </w:r>
      <w:r>
        <w:rPr>
          <w:rFonts w:ascii="Arial" w:hAnsi="Arial" w:cs="Arial"/>
          <w:b/>
          <w:i/>
          <w:color w:val="385623" w:themeColor="accent6" w:themeShade="80"/>
          <w:sz w:val="24"/>
          <w:szCs w:val="24"/>
        </w:rPr>
        <w:t xml:space="preserve"> pošlite nám čo najskôr svoju </w:t>
      </w:r>
      <w:r w:rsidRPr="0075567C">
        <w:rPr>
          <w:rFonts w:ascii="Arial" w:hAnsi="Arial" w:cs="Arial"/>
          <w:b/>
          <w:i/>
          <w:color w:val="002060"/>
          <w:sz w:val="24"/>
          <w:szCs w:val="24"/>
        </w:rPr>
        <w:t>prihlášku za člena</w:t>
      </w:r>
      <w:r w:rsidR="0075567C">
        <w:rPr>
          <w:rFonts w:ascii="Arial" w:hAnsi="Arial" w:cs="Arial"/>
          <w:b/>
          <w:i/>
          <w:color w:val="002060"/>
          <w:sz w:val="24"/>
          <w:szCs w:val="24"/>
        </w:rPr>
        <w:t xml:space="preserve"> ZPO</w:t>
      </w:r>
      <w:r>
        <w:rPr>
          <w:rFonts w:ascii="Arial" w:hAnsi="Arial" w:cs="Arial"/>
          <w:b/>
          <w:i/>
          <w:color w:val="385623" w:themeColor="accent6" w:themeShade="80"/>
          <w:sz w:val="24"/>
          <w:szCs w:val="24"/>
        </w:rPr>
        <w:t>.</w:t>
      </w:r>
      <w:r w:rsidR="0075567C">
        <w:rPr>
          <w:rFonts w:ascii="Arial" w:hAnsi="Arial" w:cs="Arial"/>
          <w:b/>
          <w:i/>
          <w:color w:val="385623" w:themeColor="accent6" w:themeShade="80"/>
          <w:sz w:val="24"/>
          <w:szCs w:val="24"/>
        </w:rPr>
        <w:t xml:space="preserve"> Vopred ď</w:t>
      </w:r>
      <w:r w:rsidR="00370DFB" w:rsidRPr="00370DFB">
        <w:rPr>
          <w:rFonts w:ascii="Arial" w:hAnsi="Arial" w:cs="Arial"/>
          <w:b/>
          <w:i/>
          <w:color w:val="385623" w:themeColor="accent6" w:themeShade="80"/>
          <w:sz w:val="24"/>
          <w:szCs w:val="24"/>
        </w:rPr>
        <w:t>akujeme!</w:t>
      </w:r>
      <w:bookmarkStart w:id="0" w:name="_GoBack"/>
      <w:bookmarkEnd w:id="0"/>
    </w:p>
    <w:sectPr w:rsidR="00370DFB" w:rsidRPr="004D244E" w:rsidSect="00120876">
      <w:pgSz w:w="11906" w:h="16838"/>
      <w:pgMar w:top="873" w:right="567" w:bottom="87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5EA5"/>
    <w:multiLevelType w:val="hybridMultilevel"/>
    <w:tmpl w:val="39C6E7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891045"/>
    <w:multiLevelType w:val="hybridMultilevel"/>
    <w:tmpl w:val="5B0E8356"/>
    <w:lvl w:ilvl="0" w:tplc="595A44F2">
      <w:start w:val="5"/>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D7D3242"/>
    <w:multiLevelType w:val="hybridMultilevel"/>
    <w:tmpl w:val="B65675EA"/>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617858"/>
    <w:multiLevelType w:val="hybridMultilevel"/>
    <w:tmpl w:val="1E8A195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B1A7C04"/>
    <w:multiLevelType w:val="multilevel"/>
    <w:tmpl w:val="DF543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F16086"/>
    <w:multiLevelType w:val="hybridMultilevel"/>
    <w:tmpl w:val="6FF8FBE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5167720"/>
    <w:multiLevelType w:val="hybridMultilevel"/>
    <w:tmpl w:val="F2B47378"/>
    <w:lvl w:ilvl="0" w:tplc="F48C2112">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8C95E25"/>
    <w:multiLevelType w:val="hybridMultilevel"/>
    <w:tmpl w:val="0972AB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A7D3713"/>
    <w:multiLevelType w:val="hybridMultilevel"/>
    <w:tmpl w:val="0FCC573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D33441A"/>
    <w:multiLevelType w:val="hybridMultilevel"/>
    <w:tmpl w:val="C784B80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0282163"/>
    <w:multiLevelType w:val="hybridMultilevel"/>
    <w:tmpl w:val="56E2A860"/>
    <w:lvl w:ilvl="0" w:tplc="FBF80288">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40D0583"/>
    <w:multiLevelType w:val="hybridMultilevel"/>
    <w:tmpl w:val="A6EC16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AB200A2"/>
    <w:multiLevelType w:val="hybridMultilevel"/>
    <w:tmpl w:val="2D440926"/>
    <w:lvl w:ilvl="0" w:tplc="041B000F">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CE31F0A"/>
    <w:multiLevelType w:val="hybridMultilevel"/>
    <w:tmpl w:val="F1E8F17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4831D0C"/>
    <w:multiLevelType w:val="hybridMultilevel"/>
    <w:tmpl w:val="4F9A2BD6"/>
    <w:lvl w:ilvl="0" w:tplc="041B000F">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EF315A1"/>
    <w:multiLevelType w:val="hybridMultilevel"/>
    <w:tmpl w:val="36826F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0330A02"/>
    <w:multiLevelType w:val="hybridMultilevel"/>
    <w:tmpl w:val="22FED6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4062432"/>
    <w:multiLevelType w:val="hybridMultilevel"/>
    <w:tmpl w:val="D918EF56"/>
    <w:lvl w:ilvl="0" w:tplc="041B000F">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A675B37"/>
    <w:multiLevelType w:val="hybridMultilevel"/>
    <w:tmpl w:val="255C847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AB46975"/>
    <w:multiLevelType w:val="hybridMultilevel"/>
    <w:tmpl w:val="E438B5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CFD1BDB"/>
    <w:multiLevelType w:val="hybridMultilevel"/>
    <w:tmpl w:val="D30AC958"/>
    <w:lvl w:ilvl="0" w:tplc="041B000F">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E9665F3"/>
    <w:multiLevelType w:val="hybridMultilevel"/>
    <w:tmpl w:val="47C48F02"/>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11F2C29"/>
    <w:multiLevelType w:val="hybridMultilevel"/>
    <w:tmpl w:val="D6C625A2"/>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16365C1"/>
    <w:multiLevelType w:val="hybridMultilevel"/>
    <w:tmpl w:val="88CA4B00"/>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3E649C0"/>
    <w:multiLevelType w:val="hybridMultilevel"/>
    <w:tmpl w:val="3322F9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7AC6BDE"/>
    <w:multiLevelType w:val="hybridMultilevel"/>
    <w:tmpl w:val="D7E614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8610C13"/>
    <w:multiLevelType w:val="hybridMultilevel"/>
    <w:tmpl w:val="E96430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8D3246A"/>
    <w:multiLevelType w:val="hybridMultilevel"/>
    <w:tmpl w:val="4AA2B62E"/>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8732E13"/>
    <w:multiLevelType w:val="multilevel"/>
    <w:tmpl w:val="8B4A0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B43B02"/>
    <w:multiLevelType w:val="hybridMultilevel"/>
    <w:tmpl w:val="ECF628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DDA79C9"/>
    <w:multiLevelType w:val="hybridMultilevel"/>
    <w:tmpl w:val="E9785F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7"/>
  </w:num>
  <w:num w:numId="6">
    <w:abstractNumId w:val="24"/>
  </w:num>
  <w:num w:numId="7">
    <w:abstractNumId w:val="26"/>
  </w:num>
  <w:num w:numId="8">
    <w:abstractNumId w:val="5"/>
  </w:num>
  <w:num w:numId="9">
    <w:abstractNumId w:val="2"/>
  </w:num>
  <w:num w:numId="10">
    <w:abstractNumId w:val="3"/>
  </w:num>
  <w:num w:numId="11">
    <w:abstractNumId w:val="27"/>
  </w:num>
  <w:num w:numId="12">
    <w:abstractNumId w:val="12"/>
  </w:num>
  <w:num w:numId="13">
    <w:abstractNumId w:val="25"/>
  </w:num>
  <w:num w:numId="14">
    <w:abstractNumId w:val="17"/>
  </w:num>
  <w:num w:numId="15">
    <w:abstractNumId w:val="1"/>
  </w:num>
  <w:num w:numId="16">
    <w:abstractNumId w:val="28"/>
  </w:num>
  <w:num w:numId="17">
    <w:abstractNumId w:val="4"/>
  </w:num>
  <w:num w:numId="18">
    <w:abstractNumId w:val="10"/>
  </w:num>
  <w:num w:numId="19">
    <w:abstractNumId w:val="23"/>
  </w:num>
  <w:num w:numId="20">
    <w:abstractNumId w:val="6"/>
  </w:num>
  <w:num w:numId="21">
    <w:abstractNumId w:val="13"/>
  </w:num>
  <w:num w:numId="22">
    <w:abstractNumId w:val="18"/>
  </w:num>
  <w:num w:numId="23">
    <w:abstractNumId w:val="9"/>
  </w:num>
  <w:num w:numId="24">
    <w:abstractNumId w:val="20"/>
  </w:num>
  <w:num w:numId="25">
    <w:abstractNumId w:val="0"/>
  </w:num>
  <w:num w:numId="26">
    <w:abstractNumId w:val="14"/>
  </w:num>
  <w:num w:numId="27">
    <w:abstractNumId w:val="29"/>
  </w:num>
  <w:num w:numId="28">
    <w:abstractNumId w:val="22"/>
  </w:num>
  <w:num w:numId="29">
    <w:abstractNumId w:val="19"/>
  </w:num>
  <w:num w:numId="30">
    <w:abstractNumId w:val="8"/>
  </w:num>
  <w:num w:numId="31">
    <w:abstractNumId w:val="30"/>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BBD"/>
    <w:rsid w:val="00006A48"/>
    <w:rsid w:val="00011C30"/>
    <w:rsid w:val="0001600C"/>
    <w:rsid w:val="0002252A"/>
    <w:rsid w:val="000226A5"/>
    <w:rsid w:val="00033B0F"/>
    <w:rsid w:val="0003585C"/>
    <w:rsid w:val="00036A54"/>
    <w:rsid w:val="00055928"/>
    <w:rsid w:val="00074CE4"/>
    <w:rsid w:val="00094A98"/>
    <w:rsid w:val="000A7AFF"/>
    <w:rsid w:val="000B1805"/>
    <w:rsid w:val="000C09F5"/>
    <w:rsid w:val="000D5166"/>
    <w:rsid w:val="000D792A"/>
    <w:rsid w:val="000E1E4F"/>
    <w:rsid w:val="000E3193"/>
    <w:rsid w:val="000F0161"/>
    <w:rsid w:val="000F47FC"/>
    <w:rsid w:val="000F6729"/>
    <w:rsid w:val="00101ED8"/>
    <w:rsid w:val="0010493C"/>
    <w:rsid w:val="00112687"/>
    <w:rsid w:val="00120876"/>
    <w:rsid w:val="001242BB"/>
    <w:rsid w:val="00125822"/>
    <w:rsid w:val="001343C0"/>
    <w:rsid w:val="00136E4D"/>
    <w:rsid w:val="0015335D"/>
    <w:rsid w:val="00164834"/>
    <w:rsid w:val="0018311E"/>
    <w:rsid w:val="00192B3C"/>
    <w:rsid w:val="0019318E"/>
    <w:rsid w:val="001A23D9"/>
    <w:rsid w:val="001B44BB"/>
    <w:rsid w:val="001C0F31"/>
    <w:rsid w:val="001C5B04"/>
    <w:rsid w:val="001C5B59"/>
    <w:rsid w:val="001D0A26"/>
    <w:rsid w:val="001E5CFD"/>
    <w:rsid w:val="001F028C"/>
    <w:rsid w:val="001F0CF8"/>
    <w:rsid w:val="001F2380"/>
    <w:rsid w:val="001F39DE"/>
    <w:rsid w:val="00205EF8"/>
    <w:rsid w:val="00211571"/>
    <w:rsid w:val="00221A60"/>
    <w:rsid w:val="00231A96"/>
    <w:rsid w:val="00242CAE"/>
    <w:rsid w:val="0024643C"/>
    <w:rsid w:val="00261DEB"/>
    <w:rsid w:val="00263D8F"/>
    <w:rsid w:val="00291A18"/>
    <w:rsid w:val="002A3391"/>
    <w:rsid w:val="002A3C5D"/>
    <w:rsid w:val="002A518F"/>
    <w:rsid w:val="002A52E6"/>
    <w:rsid w:val="002B62F0"/>
    <w:rsid w:val="002C07D8"/>
    <w:rsid w:val="002C2082"/>
    <w:rsid w:val="002C31F2"/>
    <w:rsid w:val="002C55DC"/>
    <w:rsid w:val="002C5739"/>
    <w:rsid w:val="002D5A63"/>
    <w:rsid w:val="002D702A"/>
    <w:rsid w:val="002D7569"/>
    <w:rsid w:val="002E4D9C"/>
    <w:rsid w:val="002F152F"/>
    <w:rsid w:val="002F305A"/>
    <w:rsid w:val="002F43CB"/>
    <w:rsid w:val="002F5655"/>
    <w:rsid w:val="00315420"/>
    <w:rsid w:val="00315D00"/>
    <w:rsid w:val="00327BE5"/>
    <w:rsid w:val="00331676"/>
    <w:rsid w:val="003358DF"/>
    <w:rsid w:val="00341049"/>
    <w:rsid w:val="00344B7C"/>
    <w:rsid w:val="0034552F"/>
    <w:rsid w:val="00345F77"/>
    <w:rsid w:val="0035199F"/>
    <w:rsid w:val="0035668F"/>
    <w:rsid w:val="00356EDF"/>
    <w:rsid w:val="00360AE3"/>
    <w:rsid w:val="003611A0"/>
    <w:rsid w:val="0036430A"/>
    <w:rsid w:val="00366B12"/>
    <w:rsid w:val="00370DFB"/>
    <w:rsid w:val="00384338"/>
    <w:rsid w:val="00384E75"/>
    <w:rsid w:val="00384FC9"/>
    <w:rsid w:val="003853AE"/>
    <w:rsid w:val="003C063E"/>
    <w:rsid w:val="003C1E31"/>
    <w:rsid w:val="003C501D"/>
    <w:rsid w:val="003C64F2"/>
    <w:rsid w:val="003D30AB"/>
    <w:rsid w:val="003D4BEB"/>
    <w:rsid w:val="003E4D62"/>
    <w:rsid w:val="003F17CB"/>
    <w:rsid w:val="00410171"/>
    <w:rsid w:val="004137C3"/>
    <w:rsid w:val="0042586A"/>
    <w:rsid w:val="00431756"/>
    <w:rsid w:val="00441FE0"/>
    <w:rsid w:val="00450F82"/>
    <w:rsid w:val="0045487E"/>
    <w:rsid w:val="00465B84"/>
    <w:rsid w:val="00475C0E"/>
    <w:rsid w:val="00476D49"/>
    <w:rsid w:val="00491896"/>
    <w:rsid w:val="004A5E6A"/>
    <w:rsid w:val="004B5E78"/>
    <w:rsid w:val="004B7AC9"/>
    <w:rsid w:val="004C0166"/>
    <w:rsid w:val="004C6E85"/>
    <w:rsid w:val="004D244E"/>
    <w:rsid w:val="004D2D44"/>
    <w:rsid w:val="004D32E8"/>
    <w:rsid w:val="004D7999"/>
    <w:rsid w:val="004E54D4"/>
    <w:rsid w:val="004E567D"/>
    <w:rsid w:val="004E630C"/>
    <w:rsid w:val="004E65BD"/>
    <w:rsid w:val="004F37D9"/>
    <w:rsid w:val="0050321C"/>
    <w:rsid w:val="005038E9"/>
    <w:rsid w:val="00525014"/>
    <w:rsid w:val="005262A7"/>
    <w:rsid w:val="00531AC5"/>
    <w:rsid w:val="00552C93"/>
    <w:rsid w:val="005546E5"/>
    <w:rsid w:val="00563664"/>
    <w:rsid w:val="00565262"/>
    <w:rsid w:val="005730DC"/>
    <w:rsid w:val="005825E5"/>
    <w:rsid w:val="00584FBE"/>
    <w:rsid w:val="0058552D"/>
    <w:rsid w:val="0059567F"/>
    <w:rsid w:val="00595BEF"/>
    <w:rsid w:val="005A4220"/>
    <w:rsid w:val="005B1747"/>
    <w:rsid w:val="005B5FD9"/>
    <w:rsid w:val="005D3589"/>
    <w:rsid w:val="005D3EB0"/>
    <w:rsid w:val="005D4615"/>
    <w:rsid w:val="005D51FF"/>
    <w:rsid w:val="005E74C9"/>
    <w:rsid w:val="0061205A"/>
    <w:rsid w:val="00612065"/>
    <w:rsid w:val="006254DD"/>
    <w:rsid w:val="00657998"/>
    <w:rsid w:val="00660272"/>
    <w:rsid w:val="00661920"/>
    <w:rsid w:val="006648CB"/>
    <w:rsid w:val="0068701A"/>
    <w:rsid w:val="00694213"/>
    <w:rsid w:val="0069517D"/>
    <w:rsid w:val="00696A06"/>
    <w:rsid w:val="006A09A4"/>
    <w:rsid w:val="006A2CDD"/>
    <w:rsid w:val="006B4B90"/>
    <w:rsid w:val="006B598A"/>
    <w:rsid w:val="006D5B24"/>
    <w:rsid w:val="006E34A3"/>
    <w:rsid w:val="006E662D"/>
    <w:rsid w:val="006F1317"/>
    <w:rsid w:val="006F3BFA"/>
    <w:rsid w:val="006F7A59"/>
    <w:rsid w:val="00702CFB"/>
    <w:rsid w:val="00704FA6"/>
    <w:rsid w:val="007058C5"/>
    <w:rsid w:val="00706ADD"/>
    <w:rsid w:val="0071096E"/>
    <w:rsid w:val="00725690"/>
    <w:rsid w:val="00732AA0"/>
    <w:rsid w:val="00740D66"/>
    <w:rsid w:val="007517E1"/>
    <w:rsid w:val="0075567C"/>
    <w:rsid w:val="00755E99"/>
    <w:rsid w:val="00756117"/>
    <w:rsid w:val="00761EFD"/>
    <w:rsid w:val="007653A5"/>
    <w:rsid w:val="00770A46"/>
    <w:rsid w:val="00776964"/>
    <w:rsid w:val="00783DAA"/>
    <w:rsid w:val="0078566F"/>
    <w:rsid w:val="00786E2E"/>
    <w:rsid w:val="007A4076"/>
    <w:rsid w:val="007B0B01"/>
    <w:rsid w:val="007B72D1"/>
    <w:rsid w:val="007C62A8"/>
    <w:rsid w:val="007D109C"/>
    <w:rsid w:val="007D40B2"/>
    <w:rsid w:val="007E3598"/>
    <w:rsid w:val="007F0BC6"/>
    <w:rsid w:val="007F1F59"/>
    <w:rsid w:val="007F5323"/>
    <w:rsid w:val="00812CF5"/>
    <w:rsid w:val="00843713"/>
    <w:rsid w:val="008446F2"/>
    <w:rsid w:val="008508B6"/>
    <w:rsid w:val="00872819"/>
    <w:rsid w:val="008769F5"/>
    <w:rsid w:val="0089319B"/>
    <w:rsid w:val="008A0769"/>
    <w:rsid w:val="008A1A06"/>
    <w:rsid w:val="008A70A0"/>
    <w:rsid w:val="008C3338"/>
    <w:rsid w:val="008C4E52"/>
    <w:rsid w:val="008C4F91"/>
    <w:rsid w:val="008C54EF"/>
    <w:rsid w:val="008D132F"/>
    <w:rsid w:val="00900131"/>
    <w:rsid w:val="0090049D"/>
    <w:rsid w:val="009011C4"/>
    <w:rsid w:val="00903399"/>
    <w:rsid w:val="009045D6"/>
    <w:rsid w:val="0091648C"/>
    <w:rsid w:val="00916B5F"/>
    <w:rsid w:val="0092397C"/>
    <w:rsid w:val="00931538"/>
    <w:rsid w:val="00937C97"/>
    <w:rsid w:val="00942C14"/>
    <w:rsid w:val="0094453F"/>
    <w:rsid w:val="00951790"/>
    <w:rsid w:val="00956D47"/>
    <w:rsid w:val="0096138F"/>
    <w:rsid w:val="00966242"/>
    <w:rsid w:val="0097271D"/>
    <w:rsid w:val="00972CC6"/>
    <w:rsid w:val="009739CC"/>
    <w:rsid w:val="009774EF"/>
    <w:rsid w:val="00986874"/>
    <w:rsid w:val="00990C3A"/>
    <w:rsid w:val="00997A14"/>
    <w:rsid w:val="009A3BA8"/>
    <w:rsid w:val="009B4DF6"/>
    <w:rsid w:val="009C7E54"/>
    <w:rsid w:val="009D7806"/>
    <w:rsid w:val="009E4922"/>
    <w:rsid w:val="009F0543"/>
    <w:rsid w:val="009F588E"/>
    <w:rsid w:val="009F7559"/>
    <w:rsid w:val="00A03612"/>
    <w:rsid w:val="00A04604"/>
    <w:rsid w:val="00A06F3A"/>
    <w:rsid w:val="00A07B8E"/>
    <w:rsid w:val="00A10B3E"/>
    <w:rsid w:val="00A12214"/>
    <w:rsid w:val="00A20926"/>
    <w:rsid w:val="00A20CEF"/>
    <w:rsid w:val="00A2473D"/>
    <w:rsid w:val="00A36C42"/>
    <w:rsid w:val="00A470F2"/>
    <w:rsid w:val="00A5015C"/>
    <w:rsid w:val="00A62283"/>
    <w:rsid w:val="00A766A0"/>
    <w:rsid w:val="00A82B3D"/>
    <w:rsid w:val="00A82EA1"/>
    <w:rsid w:val="00A84900"/>
    <w:rsid w:val="00AB1E49"/>
    <w:rsid w:val="00AB430B"/>
    <w:rsid w:val="00AD2669"/>
    <w:rsid w:val="00AD5DD8"/>
    <w:rsid w:val="00AE79D7"/>
    <w:rsid w:val="00AE7DEF"/>
    <w:rsid w:val="00B11476"/>
    <w:rsid w:val="00B16C20"/>
    <w:rsid w:val="00B21D2D"/>
    <w:rsid w:val="00B23E06"/>
    <w:rsid w:val="00B264D2"/>
    <w:rsid w:val="00B30BAC"/>
    <w:rsid w:val="00B30BD5"/>
    <w:rsid w:val="00B3388D"/>
    <w:rsid w:val="00B34F11"/>
    <w:rsid w:val="00B4177F"/>
    <w:rsid w:val="00B44984"/>
    <w:rsid w:val="00B44B79"/>
    <w:rsid w:val="00B45529"/>
    <w:rsid w:val="00B46662"/>
    <w:rsid w:val="00B56511"/>
    <w:rsid w:val="00B62498"/>
    <w:rsid w:val="00B67A35"/>
    <w:rsid w:val="00B9530B"/>
    <w:rsid w:val="00B9725F"/>
    <w:rsid w:val="00BA0AA0"/>
    <w:rsid w:val="00BA6735"/>
    <w:rsid w:val="00BD1FAA"/>
    <w:rsid w:val="00BD6E09"/>
    <w:rsid w:val="00BF1954"/>
    <w:rsid w:val="00C126B2"/>
    <w:rsid w:val="00C13845"/>
    <w:rsid w:val="00C16503"/>
    <w:rsid w:val="00C3706E"/>
    <w:rsid w:val="00C37A0A"/>
    <w:rsid w:val="00C563D5"/>
    <w:rsid w:val="00C6161B"/>
    <w:rsid w:val="00C6665E"/>
    <w:rsid w:val="00C8074E"/>
    <w:rsid w:val="00C84A14"/>
    <w:rsid w:val="00C84DC9"/>
    <w:rsid w:val="00CA5749"/>
    <w:rsid w:val="00CB427B"/>
    <w:rsid w:val="00CB6A2D"/>
    <w:rsid w:val="00CB6F8E"/>
    <w:rsid w:val="00CC4BBD"/>
    <w:rsid w:val="00CC4BD4"/>
    <w:rsid w:val="00CF0AF8"/>
    <w:rsid w:val="00CF2076"/>
    <w:rsid w:val="00CF7DFE"/>
    <w:rsid w:val="00D00DA0"/>
    <w:rsid w:val="00D12AE3"/>
    <w:rsid w:val="00D2456E"/>
    <w:rsid w:val="00D2703E"/>
    <w:rsid w:val="00D31537"/>
    <w:rsid w:val="00D6187D"/>
    <w:rsid w:val="00D65F02"/>
    <w:rsid w:val="00D67EC2"/>
    <w:rsid w:val="00D73CBA"/>
    <w:rsid w:val="00D81A52"/>
    <w:rsid w:val="00D85141"/>
    <w:rsid w:val="00D90158"/>
    <w:rsid w:val="00D931E9"/>
    <w:rsid w:val="00DA2CA3"/>
    <w:rsid w:val="00DC4BA5"/>
    <w:rsid w:val="00DD6632"/>
    <w:rsid w:val="00DE102C"/>
    <w:rsid w:val="00DE621F"/>
    <w:rsid w:val="00DF2AE0"/>
    <w:rsid w:val="00DF2CE3"/>
    <w:rsid w:val="00E00D1B"/>
    <w:rsid w:val="00E0131A"/>
    <w:rsid w:val="00E01F29"/>
    <w:rsid w:val="00E0437D"/>
    <w:rsid w:val="00E05B88"/>
    <w:rsid w:val="00E1194C"/>
    <w:rsid w:val="00E11D14"/>
    <w:rsid w:val="00E14BC9"/>
    <w:rsid w:val="00E46B38"/>
    <w:rsid w:val="00E513E1"/>
    <w:rsid w:val="00E52D60"/>
    <w:rsid w:val="00E56861"/>
    <w:rsid w:val="00E65787"/>
    <w:rsid w:val="00E8188F"/>
    <w:rsid w:val="00E831AB"/>
    <w:rsid w:val="00E83F7D"/>
    <w:rsid w:val="00E94752"/>
    <w:rsid w:val="00EA10E6"/>
    <w:rsid w:val="00EA4CAA"/>
    <w:rsid w:val="00EB2690"/>
    <w:rsid w:val="00EB3245"/>
    <w:rsid w:val="00EB71A3"/>
    <w:rsid w:val="00EC5AAD"/>
    <w:rsid w:val="00EC69C1"/>
    <w:rsid w:val="00ED3F30"/>
    <w:rsid w:val="00EF3FD9"/>
    <w:rsid w:val="00F0352B"/>
    <w:rsid w:val="00F03CE2"/>
    <w:rsid w:val="00F10429"/>
    <w:rsid w:val="00F263DE"/>
    <w:rsid w:val="00F30372"/>
    <w:rsid w:val="00F3189A"/>
    <w:rsid w:val="00F36C83"/>
    <w:rsid w:val="00F36DE8"/>
    <w:rsid w:val="00F37D81"/>
    <w:rsid w:val="00F45615"/>
    <w:rsid w:val="00F54CDC"/>
    <w:rsid w:val="00F67237"/>
    <w:rsid w:val="00F75A4D"/>
    <w:rsid w:val="00F76A30"/>
    <w:rsid w:val="00F77A11"/>
    <w:rsid w:val="00F8359D"/>
    <w:rsid w:val="00FA49F7"/>
    <w:rsid w:val="00FA4BC6"/>
    <w:rsid w:val="00FC1E29"/>
    <w:rsid w:val="00FC7D24"/>
    <w:rsid w:val="00FD07DB"/>
    <w:rsid w:val="00FD299F"/>
    <w:rsid w:val="00FE5F8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EBD40-FF55-48B1-80AC-1BA39FB84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link w:val="Nadpis2Char"/>
    <w:uiPriority w:val="9"/>
    <w:qFormat/>
    <w:rsid w:val="00F76A30"/>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C4BBD"/>
    <w:pPr>
      <w:ind w:left="720"/>
      <w:contextualSpacing/>
    </w:pPr>
  </w:style>
  <w:style w:type="character" w:customStyle="1" w:styleId="Nadpis2Char">
    <w:name w:val="Nadpis 2 Char"/>
    <w:basedOn w:val="Predvolenpsmoodseku"/>
    <w:link w:val="Nadpis2"/>
    <w:uiPriority w:val="9"/>
    <w:rsid w:val="00F76A30"/>
    <w:rPr>
      <w:rFonts w:ascii="Times New Roman" w:eastAsia="Times New Roman" w:hAnsi="Times New Roman" w:cs="Times New Roman"/>
      <w:b/>
      <w:bCs/>
      <w:sz w:val="36"/>
      <w:szCs w:val="36"/>
      <w:lang w:eastAsia="sk-SK"/>
    </w:rPr>
  </w:style>
  <w:style w:type="paragraph" w:styleId="Normlnywebov">
    <w:name w:val="Normal (Web)"/>
    <w:basedOn w:val="Normlny"/>
    <w:uiPriority w:val="99"/>
    <w:semiHidden/>
    <w:unhideWhenUsed/>
    <w:rsid w:val="00F76A3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B16C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529935">
      <w:bodyDiv w:val="1"/>
      <w:marLeft w:val="0"/>
      <w:marRight w:val="0"/>
      <w:marTop w:val="0"/>
      <w:marBottom w:val="0"/>
      <w:divBdr>
        <w:top w:val="none" w:sz="0" w:space="0" w:color="auto"/>
        <w:left w:val="none" w:sz="0" w:space="0" w:color="auto"/>
        <w:bottom w:val="none" w:sz="0" w:space="0" w:color="auto"/>
        <w:right w:val="none" w:sz="0" w:space="0" w:color="auto"/>
      </w:divBdr>
      <w:divsChild>
        <w:div w:id="1604611276">
          <w:marLeft w:val="0"/>
          <w:marRight w:val="0"/>
          <w:marTop w:val="0"/>
          <w:marBottom w:val="300"/>
          <w:divBdr>
            <w:top w:val="none" w:sz="0" w:space="0" w:color="auto"/>
            <w:left w:val="none" w:sz="0" w:space="0" w:color="auto"/>
            <w:bottom w:val="none" w:sz="0" w:space="0" w:color="auto"/>
            <w:right w:val="none" w:sz="0" w:space="0" w:color="auto"/>
          </w:divBdr>
          <w:divsChild>
            <w:div w:id="2000840036">
              <w:marLeft w:val="0"/>
              <w:marRight w:val="0"/>
              <w:marTop w:val="0"/>
              <w:marBottom w:val="0"/>
              <w:divBdr>
                <w:top w:val="none" w:sz="0" w:space="0" w:color="auto"/>
                <w:left w:val="none" w:sz="0" w:space="0" w:color="auto"/>
                <w:bottom w:val="none" w:sz="0" w:space="0" w:color="auto"/>
                <w:right w:val="none" w:sz="0" w:space="0" w:color="auto"/>
              </w:divBdr>
            </w:div>
          </w:divsChild>
        </w:div>
        <w:div w:id="2092265901">
          <w:marLeft w:val="0"/>
          <w:marRight w:val="0"/>
          <w:marTop w:val="0"/>
          <w:marBottom w:val="300"/>
          <w:divBdr>
            <w:top w:val="none" w:sz="0" w:space="0" w:color="auto"/>
            <w:left w:val="none" w:sz="0" w:space="0" w:color="auto"/>
            <w:bottom w:val="none" w:sz="0" w:space="0" w:color="auto"/>
            <w:right w:val="none" w:sz="0" w:space="0" w:color="auto"/>
          </w:divBdr>
          <w:divsChild>
            <w:div w:id="1909995994">
              <w:marLeft w:val="0"/>
              <w:marRight w:val="0"/>
              <w:marTop w:val="0"/>
              <w:marBottom w:val="0"/>
              <w:divBdr>
                <w:top w:val="none" w:sz="0" w:space="0" w:color="auto"/>
                <w:left w:val="none" w:sz="0" w:space="0" w:color="auto"/>
                <w:bottom w:val="none" w:sz="0" w:space="0" w:color="auto"/>
                <w:right w:val="none" w:sz="0" w:space="0" w:color="auto"/>
              </w:divBdr>
            </w:div>
          </w:divsChild>
        </w:div>
        <w:div w:id="535236353">
          <w:marLeft w:val="0"/>
          <w:marRight w:val="0"/>
          <w:marTop w:val="0"/>
          <w:marBottom w:val="300"/>
          <w:divBdr>
            <w:top w:val="none" w:sz="0" w:space="0" w:color="auto"/>
            <w:left w:val="none" w:sz="0" w:space="0" w:color="auto"/>
            <w:bottom w:val="none" w:sz="0" w:space="0" w:color="auto"/>
            <w:right w:val="none" w:sz="0" w:space="0" w:color="auto"/>
          </w:divBdr>
          <w:divsChild>
            <w:div w:id="358817281">
              <w:marLeft w:val="0"/>
              <w:marRight w:val="0"/>
              <w:marTop w:val="0"/>
              <w:marBottom w:val="0"/>
              <w:divBdr>
                <w:top w:val="none" w:sz="0" w:space="0" w:color="auto"/>
                <w:left w:val="none" w:sz="0" w:space="0" w:color="auto"/>
                <w:bottom w:val="none" w:sz="0" w:space="0" w:color="auto"/>
                <w:right w:val="none" w:sz="0" w:space="0" w:color="auto"/>
              </w:divBdr>
            </w:div>
          </w:divsChild>
        </w:div>
        <w:div w:id="1511019359">
          <w:marLeft w:val="0"/>
          <w:marRight w:val="0"/>
          <w:marTop w:val="0"/>
          <w:marBottom w:val="300"/>
          <w:divBdr>
            <w:top w:val="none" w:sz="0" w:space="0" w:color="auto"/>
            <w:left w:val="none" w:sz="0" w:space="0" w:color="auto"/>
            <w:bottom w:val="none" w:sz="0" w:space="0" w:color="auto"/>
            <w:right w:val="none" w:sz="0" w:space="0" w:color="auto"/>
          </w:divBdr>
          <w:divsChild>
            <w:div w:id="6189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2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450\Documents\Moje%20podnikanie\V&#237;zie\SME%20RODINA\SPP%20po2020\IPP%20datova_priloha_priebeznej_sprav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450\Documents\Moje%20podnikanie\V&#237;zie\SME%20RODINA\SPP%20po2020\IPP%20datova_priloha_priebeznej_sprav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450\Documents\Moje%20podnikanie\V&#237;zie\SME%20RODINA\SPP%20po2020\IPP%20datova_priloha_priebeznej_sprav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502143482064746"/>
          <c:y val="6.9861111111111124E-2"/>
          <c:w val="0.42717957130358708"/>
          <c:h val="0.71196595217264513"/>
        </c:manualLayout>
      </c:layout>
      <c:pieChart>
        <c:varyColors val="1"/>
        <c:ser>
          <c:idx val="0"/>
          <c:order val="0"/>
          <c:dPt>
            <c:idx val="0"/>
            <c:bubble3D val="0"/>
            <c:spPr>
              <a:solidFill>
                <a:srgbClr val="B8DB7C"/>
              </a:solidFill>
              <a:ln w="19050">
                <a:solidFill>
                  <a:schemeClr val="lt1"/>
                </a:solidFill>
              </a:ln>
              <a:effectLst/>
            </c:spPr>
            <c:extLst xmlns:c16r2="http://schemas.microsoft.com/office/drawing/2015/06/chart">
              <c:ext xmlns:c16="http://schemas.microsoft.com/office/drawing/2014/chart" uri="{C3380CC4-5D6E-409C-BE32-E72D297353CC}">
                <c16:uniqueId val="{00000001-7FBB-495A-B2EB-DBE0BE0287BF}"/>
              </c:ext>
            </c:extLst>
          </c:dPt>
          <c:dPt>
            <c:idx val="1"/>
            <c:bubble3D val="0"/>
            <c:spPr>
              <a:solidFill>
                <a:srgbClr val="957F66"/>
              </a:solidFill>
              <a:ln w="19050">
                <a:solidFill>
                  <a:schemeClr val="lt1"/>
                </a:solidFill>
              </a:ln>
              <a:effectLst/>
            </c:spPr>
            <c:extLst xmlns:c16r2="http://schemas.microsoft.com/office/drawing/2015/06/chart">
              <c:ext xmlns:c16="http://schemas.microsoft.com/office/drawing/2014/chart" uri="{C3380CC4-5D6E-409C-BE32-E72D297353CC}">
                <c16:uniqueId val="{00000003-7FBB-495A-B2EB-DBE0BE0287BF}"/>
              </c:ext>
            </c:extLst>
          </c:dPt>
          <c:dPt>
            <c:idx val="2"/>
            <c:bubble3D val="0"/>
            <c:spPr>
              <a:solidFill>
                <a:srgbClr val="605D5C"/>
              </a:solidFill>
              <a:ln w="19050">
                <a:solidFill>
                  <a:schemeClr val="lt1"/>
                </a:solidFill>
              </a:ln>
              <a:effectLst/>
            </c:spPr>
            <c:extLst xmlns:c16r2="http://schemas.microsoft.com/office/drawing/2015/06/chart">
              <c:ext xmlns:c16="http://schemas.microsoft.com/office/drawing/2014/chart" uri="{C3380CC4-5D6E-409C-BE32-E72D297353CC}">
                <c16:uniqueId val="{00000005-7FBB-495A-B2EB-DBE0BE0287BF}"/>
              </c:ext>
            </c:extLst>
          </c:dPt>
          <c:dPt>
            <c:idx val="3"/>
            <c:bubble3D val="0"/>
            <c:spPr>
              <a:solidFill>
                <a:srgbClr val="628624"/>
              </a:solidFill>
              <a:ln w="19050">
                <a:solidFill>
                  <a:schemeClr val="lt1"/>
                </a:solidFill>
              </a:ln>
              <a:effectLst/>
            </c:spPr>
            <c:extLst xmlns:c16r2="http://schemas.microsoft.com/office/drawing/2015/06/chart">
              <c:ext xmlns:c16="http://schemas.microsoft.com/office/drawing/2014/chart" uri="{C3380CC4-5D6E-409C-BE32-E72D297353CC}">
                <c16:uniqueId val="{00000007-7FBB-495A-B2EB-DBE0BE0287BF}"/>
              </c:ext>
            </c:extLst>
          </c:dPt>
          <c:dPt>
            <c:idx val="4"/>
            <c:bubble3D val="0"/>
            <c:spPr>
              <a:solidFill>
                <a:srgbClr val="C0BEBD"/>
              </a:solidFill>
              <a:ln w="19050">
                <a:solidFill>
                  <a:schemeClr val="lt1"/>
                </a:solidFill>
              </a:ln>
              <a:effectLst/>
            </c:spPr>
            <c:extLst xmlns:c16r2="http://schemas.microsoft.com/office/drawing/2015/06/chart">
              <c:ext xmlns:c16="http://schemas.microsoft.com/office/drawing/2014/chart" uri="{C3380CC4-5D6E-409C-BE32-E72D297353CC}">
                <c16:uniqueId val="{00000009-7FBB-495A-B2EB-DBE0BE0287BF}"/>
              </c:ext>
            </c:extLst>
          </c:dPt>
          <c:dPt>
            <c:idx val="5"/>
            <c:bubble3D val="0"/>
            <c:spPr>
              <a:solidFill>
                <a:srgbClr val="BFB2A2"/>
              </a:solidFill>
              <a:ln w="19050">
                <a:solidFill>
                  <a:schemeClr val="lt1"/>
                </a:solidFill>
              </a:ln>
              <a:effectLst/>
            </c:spPr>
            <c:extLst xmlns:c16r2="http://schemas.microsoft.com/office/drawing/2015/06/chart">
              <c:ext xmlns:c16="http://schemas.microsoft.com/office/drawing/2014/chart" uri="{C3380CC4-5D6E-409C-BE32-E72D297353CC}">
                <c16:uniqueId val="{0000000B-7FBB-495A-B2EB-DBE0BE0287BF}"/>
              </c:ext>
            </c:extLst>
          </c:dPt>
          <c:dPt>
            <c:idx val="6"/>
            <c:bubble3D val="0"/>
            <c:spPr>
              <a:solidFill>
                <a:srgbClr val="A09D9C"/>
              </a:solidFill>
              <a:ln w="19050">
                <a:solidFill>
                  <a:schemeClr val="lt1"/>
                </a:solidFill>
              </a:ln>
              <a:effectLst/>
            </c:spPr>
            <c:extLst xmlns:c16r2="http://schemas.microsoft.com/office/drawing/2015/06/chart">
              <c:ext xmlns:c16="http://schemas.microsoft.com/office/drawing/2014/chart" uri="{C3380CC4-5D6E-409C-BE32-E72D297353CC}">
                <c16:uniqueId val="{0000000D-7FBB-495A-B2EB-DBE0BE0287BF}"/>
              </c:ext>
            </c:extLst>
          </c:dPt>
          <c:dLbls>
            <c:dLbl>
              <c:idx val="0"/>
              <c:layout>
                <c:manualLayout>
                  <c:x val="2.767279090113736E-3"/>
                  <c:y val="-1.9195465150189561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FBB-495A-B2EB-DBE0BE0287BF}"/>
                </c:ext>
                <c:ext xmlns:c15="http://schemas.microsoft.com/office/drawing/2012/chart" uri="{CE6537A1-D6FC-4f65-9D91-7224C49458BB}"/>
              </c:extLst>
            </c:dLbl>
            <c:dLbl>
              <c:idx val="1"/>
              <c:layout>
                <c:manualLayout>
                  <c:x val="-0.11190310586176727"/>
                  <c:y val="-5.7543744531933512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FBB-495A-B2EB-DBE0BE0287BF}"/>
                </c:ext>
                <c:ext xmlns:c15="http://schemas.microsoft.com/office/drawing/2012/chart" uri="{CE6537A1-D6FC-4f65-9D91-7224C49458BB}"/>
              </c:extLst>
            </c:dLbl>
            <c:dLbl>
              <c:idx val="2"/>
              <c:layout>
                <c:manualLayout>
                  <c:x val="3.7938538932633424E-3"/>
                  <c:y val="-5.9716754155730557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7FBB-495A-B2EB-DBE0BE0287BF}"/>
                </c:ext>
                <c:ext xmlns:c15="http://schemas.microsoft.com/office/drawing/2012/chart" uri="{CE6537A1-D6FC-4f65-9D91-7224C49458BB}"/>
              </c:extLst>
            </c:dLbl>
            <c:dLbl>
              <c:idx val="3"/>
              <c:layout>
                <c:manualLayout>
                  <c:x val="-6.2085520559929767E-3"/>
                  <c:y val="2.6312335958005251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7FBB-495A-B2EB-DBE0BE0287BF}"/>
                </c:ext>
                <c:ext xmlns:c15="http://schemas.microsoft.com/office/drawing/2012/chart" uri="{CE6537A1-D6FC-4f65-9D91-7224C49458BB}"/>
              </c:extLst>
            </c:dLbl>
            <c:dLbl>
              <c:idx val="4"/>
              <c:layout>
                <c:manualLayout>
                  <c:x val="1.4560476815398076E-2"/>
                  <c:y val="1.8302347623213765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7FBB-495A-B2EB-DBE0BE0287BF}"/>
                </c:ext>
                <c:ext xmlns:c15="http://schemas.microsoft.com/office/drawing/2012/chart" uri="{CE6537A1-D6FC-4f65-9D91-7224C49458BB}"/>
              </c:extLst>
            </c:dLbl>
            <c:dLbl>
              <c:idx val="5"/>
              <c:layout>
                <c:manualLayout>
                  <c:x val="1.5925306211723538E-2"/>
                  <c:y val="1.0416666666666666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7FBB-495A-B2EB-DBE0BE0287BF}"/>
                </c:ext>
                <c:ext xmlns:c15="http://schemas.microsoft.com/office/drawing/2012/chart" uri="{CE6537A1-D6FC-4f65-9D91-7224C49458BB}"/>
              </c:extLst>
            </c:dLbl>
            <c:dLbl>
              <c:idx val="6"/>
              <c:layout>
                <c:manualLayout>
                  <c:x val="1.0918307086614122E-2"/>
                  <c:y val="1.1574074074074073E-3"/>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7FBB-495A-B2EB-DBE0BE0287B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Narrow" panose="020B0606020202030204" pitchFamily="34" charset="0"/>
                    <a:ea typeface="+mn-ea"/>
                    <a:cs typeface="+mn-cs"/>
                  </a:defRPr>
                </a:pPr>
                <a:endParaRPr lang="sk-SK"/>
              </a:p>
            </c:txPr>
            <c:dLblPos val="bestFi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extLst>
          </c:dLbls>
          <c:cat>
            <c:strRef>
              <c:f>'[IPP datova_priloha_priebeznej_spravy.xlsx]Graf_88'!$A$8:$A$14</c:f>
              <c:strCache>
                <c:ptCount val="7"/>
                <c:pt idx="0">
                  <c:v>Hovädzí dobytok</c:v>
                </c:pt>
                <c:pt idx="1">
                  <c:v>Mlieko</c:v>
                </c:pt>
                <c:pt idx="2">
                  <c:v>Ovce a kozy</c:v>
                </c:pt>
                <c:pt idx="3">
                  <c:v>Bielkovinové plodiny</c:v>
                </c:pt>
                <c:pt idx="4">
                  <c:v>Ovocie a zelenina</c:v>
                </c:pt>
                <c:pt idx="5">
                  <c:v>Cukrová repa</c:v>
                </c:pt>
                <c:pt idx="6">
                  <c:v>Ostatné</c:v>
                </c:pt>
              </c:strCache>
            </c:strRef>
          </c:cat>
          <c:val>
            <c:numRef>
              <c:f>'[IPP datova_priloha_priebeznej_spravy.xlsx]Graf_88'!$C$8:$C$14</c:f>
              <c:numCache>
                <c:formatCode>0%</c:formatCode>
                <c:ptCount val="7"/>
                <c:pt idx="0">
                  <c:v>0.40053149067865768</c:v>
                </c:pt>
                <c:pt idx="1">
                  <c:v>0.20618366401878116</c:v>
                </c:pt>
                <c:pt idx="2">
                  <c:v>0.13394496364522884</c:v>
                </c:pt>
                <c:pt idx="3">
                  <c:v>0.10873669365182596</c:v>
                </c:pt>
                <c:pt idx="4">
                  <c:v>4.4132095330946641E-2</c:v>
                </c:pt>
                <c:pt idx="5">
                  <c:v>4.1795548929631582E-2</c:v>
                </c:pt>
                <c:pt idx="6">
                  <c:v>6.9999999999999993E-2</c:v>
                </c:pt>
              </c:numCache>
            </c:numRef>
          </c:val>
          <c:extLst xmlns:c16r2="http://schemas.microsoft.com/office/drawing/2015/06/chart">
            <c:ext xmlns:c16="http://schemas.microsoft.com/office/drawing/2014/chart" uri="{C3380CC4-5D6E-409C-BE32-E72D297353CC}">
              <c16:uniqueId val="{0000000E-7FBB-495A-B2EB-DBE0BE0287BF}"/>
            </c:ext>
          </c:extLst>
        </c:ser>
        <c:dLbls>
          <c:showLegendKey val="0"/>
          <c:showVal val="0"/>
          <c:showCatName val="0"/>
          <c:showSerName val="0"/>
          <c:showPercent val="0"/>
          <c:showBubbleSize val="0"/>
          <c:showLeaderLines val="0"/>
        </c:dLbls>
        <c:firstSliceAng val="0"/>
      </c:pieChart>
      <c:spPr>
        <a:noFill/>
        <a:ln>
          <a:noFill/>
        </a:ln>
        <a:effectLst/>
      </c:spPr>
    </c:plotArea>
    <c:legend>
      <c:legendPos val="b"/>
      <c:layout>
        <c:manualLayout>
          <c:xMode val="edge"/>
          <c:yMode val="edge"/>
          <c:x val="3.2421916010498687E-2"/>
          <c:y val="0.78645669291338582"/>
          <c:w val="0.9379337270341207"/>
          <c:h val="0.18576552930883639"/>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sk-SK"/>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Arial Narrow" panose="020B0606020202030204" pitchFamily="34" charset="0"/>
        </a:defRPr>
      </a:pPr>
      <a:endParaRPr lang="sk-SK"/>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layout>
                <c:manualLayout>
                  <c:x val="9.9999999999999895E-2"/>
                  <c:y val="5.5555555555555552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0.17881438289601556"/>
                  <c:y val="-8.0423280423280424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4.4444444444444446E-2"/>
                  <c:y val="0.21296296296296288"/>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3"/>
              <c:dLblPos val="outEnd"/>
              <c:showLegendKey val="0"/>
              <c:showVal val="0"/>
              <c:showCatName val="1"/>
              <c:showSerName val="0"/>
              <c:showPercent val="1"/>
              <c:showBubbleSize val="0"/>
              <c:extLst>
                <c:ext xmlns:c15="http://schemas.microsoft.com/office/drawing/2012/chart" uri="{CE6537A1-D6FC-4f65-9D91-7224C49458BB}">
                  <c15:layout>
                    <c:manualLayout>
                      <c:w val="0.20788656519975821"/>
                      <c:h val="0.15367679040119986"/>
                    </c:manualLayout>
                  </c15:layout>
                </c:ext>
              </c:extLst>
            </c:dLbl>
            <c:dLbl>
              <c:idx val="4"/>
              <c:layout>
                <c:manualLayout>
                  <c:x val="-6.3888888888888898E-2"/>
                  <c:y val="0.16203703703703695"/>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5"/>
              <c:layout>
                <c:manualLayout>
                  <c:x val="5.8333333333333334E-2"/>
                  <c:y val="-2.7777777777777776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6"/>
              <c:layout>
                <c:manualLayout>
                  <c:x val="5.8333333333333334E-2"/>
                  <c:y val="0"/>
                </c:manualLayout>
              </c:layout>
              <c:dLblPos val="bestFit"/>
              <c:showLegendKey val="0"/>
              <c:showVal val="0"/>
              <c:showCatName val="1"/>
              <c:showSerName val="0"/>
              <c:showPercent val="1"/>
              <c:showBubbleSize val="0"/>
              <c:extLs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k-SK"/>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'[IPP datova_priloha_priebeznej_spravy.xlsx]Graf_89'!$I$9:$I$15</c:f>
              <c:strCache>
                <c:ptCount val="7"/>
                <c:pt idx="0">
                  <c:v>Hovädzí dobytok</c:v>
                </c:pt>
                <c:pt idx="1">
                  <c:v>Mlieko</c:v>
                </c:pt>
                <c:pt idx="2">
                  <c:v>Ovce a kozy</c:v>
                </c:pt>
                <c:pt idx="3">
                  <c:v>Bielkovinové plodiny</c:v>
                </c:pt>
                <c:pt idx="4">
                  <c:v>Ovocie a zelenina</c:v>
                </c:pt>
                <c:pt idx="5">
                  <c:v>Cukrová repa</c:v>
                </c:pt>
                <c:pt idx="6">
                  <c:v>Ostatné</c:v>
                </c:pt>
              </c:strCache>
            </c:strRef>
          </c:cat>
          <c:val>
            <c:numRef>
              <c:f>'[IPP datova_priloha_priebeznej_spravy.xlsx]Graf_89'!$K$9:$K$15</c:f>
              <c:numCache>
                <c:formatCode>0%</c:formatCode>
                <c:ptCount val="7"/>
                <c:pt idx="0">
                  <c:v>0.15507928210489633</c:v>
                </c:pt>
                <c:pt idx="1">
                  <c:v>0.6152639832723471</c:v>
                </c:pt>
                <c:pt idx="2">
                  <c:v>9.2350583725387694E-2</c:v>
                </c:pt>
                <c:pt idx="3">
                  <c:v>0</c:v>
                </c:pt>
                <c:pt idx="4">
                  <c:v>1.9689841435790209E-2</c:v>
                </c:pt>
                <c:pt idx="5">
                  <c:v>0.11691932392402858</c:v>
                </c:pt>
                <c:pt idx="6" formatCode="0.0%">
                  <c:v>6.9698553755009581E-4</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8332043431230117E-2"/>
          <c:y val="2.3051960802756073E-2"/>
          <c:w val="0.94951798395090214"/>
          <c:h val="0.91306259077637741"/>
        </c:manualLayout>
      </c:layout>
      <c:barChart>
        <c:barDir val="col"/>
        <c:grouping val="clustered"/>
        <c:varyColors val="0"/>
        <c:ser>
          <c:idx val="0"/>
          <c:order val="0"/>
          <c:spPr>
            <a:solidFill>
              <a:srgbClr val="B8DB7C"/>
            </a:solidFill>
            <a:ln>
              <a:noFill/>
            </a:ln>
            <a:effectLst/>
          </c:spPr>
          <c:invertIfNegative val="0"/>
          <c:dPt>
            <c:idx val="19"/>
            <c:invertIfNegative val="0"/>
            <c:bubble3D val="0"/>
            <c:spPr>
              <a:solidFill>
                <a:srgbClr val="957F66"/>
              </a:solidFill>
              <a:ln>
                <a:noFill/>
              </a:ln>
              <a:effectLst/>
            </c:spPr>
          </c:dPt>
          <c:cat>
            <c:strRef>
              <c:f>'[IPP datova_priloha_priebeznej_spravy.xlsx]Graf_97'!$AE$12:$AE$41</c:f>
              <c:strCache>
                <c:ptCount val="30"/>
                <c:pt idx="0">
                  <c:v>MT</c:v>
                </c:pt>
                <c:pt idx="1">
                  <c:v>EL</c:v>
                </c:pt>
                <c:pt idx="2">
                  <c:v>NL</c:v>
                </c:pt>
                <c:pt idx="3">
                  <c:v>BE</c:v>
                </c:pt>
                <c:pt idx="4">
                  <c:v>CY</c:v>
                </c:pt>
                <c:pt idx="5">
                  <c:v>IT</c:v>
                </c:pt>
                <c:pt idx="6">
                  <c:v>DK</c:v>
                </c:pt>
                <c:pt idx="7">
                  <c:v>SI</c:v>
                </c:pt>
                <c:pt idx="8">
                  <c:v>DE</c:v>
                </c:pt>
                <c:pt idx="9">
                  <c:v>EU15</c:v>
                </c:pt>
                <c:pt idx="10">
                  <c:v>LU</c:v>
                </c:pt>
                <c:pt idx="11">
                  <c:v>IE</c:v>
                </c:pt>
                <c:pt idx="12">
                  <c:v>AT</c:v>
                </c:pt>
                <c:pt idx="13">
                  <c:v>FR</c:v>
                </c:pt>
                <c:pt idx="14">
                  <c:v>HU</c:v>
                </c:pt>
                <c:pt idx="15">
                  <c:v>ES</c:v>
                </c:pt>
                <c:pt idx="16">
                  <c:v>PL</c:v>
                </c:pt>
                <c:pt idx="17">
                  <c:v>CZ</c:v>
                </c:pt>
                <c:pt idx="18">
                  <c:v>FI</c:v>
                </c:pt>
                <c:pt idx="19">
                  <c:v>SK</c:v>
                </c:pt>
                <c:pt idx="20">
                  <c:v>SE</c:v>
                </c:pt>
                <c:pt idx="21">
                  <c:v>PT</c:v>
                </c:pt>
                <c:pt idx="22">
                  <c:v>EU13</c:v>
                </c:pt>
                <c:pt idx="23">
                  <c:v>UK</c:v>
                </c:pt>
                <c:pt idx="24">
                  <c:v>BG</c:v>
                </c:pt>
                <c:pt idx="25">
                  <c:v>HR</c:v>
                </c:pt>
                <c:pt idx="26">
                  <c:v>RO</c:v>
                </c:pt>
                <c:pt idx="27">
                  <c:v>LT</c:v>
                </c:pt>
                <c:pt idx="28">
                  <c:v>EE</c:v>
                </c:pt>
                <c:pt idx="29">
                  <c:v>LV</c:v>
                </c:pt>
              </c:strCache>
            </c:strRef>
          </c:cat>
          <c:val>
            <c:numRef>
              <c:f>'[IPP datova_priloha_priebeznej_spravy.xlsx]Graf_97'!$AF$12:$AF$41</c:f>
              <c:numCache>
                <c:formatCode>General</c:formatCode>
                <c:ptCount val="30"/>
                <c:pt idx="0">
                  <c:v>614.8681640625</c:v>
                </c:pt>
                <c:pt idx="1">
                  <c:v>539.33470122826827</c:v>
                </c:pt>
                <c:pt idx="2">
                  <c:v>414.07124369704735</c:v>
                </c:pt>
                <c:pt idx="3">
                  <c:v>381.52081550891927</c:v>
                </c:pt>
                <c:pt idx="4">
                  <c:v>365.87839327444556</c:v>
                </c:pt>
                <c:pt idx="5">
                  <c:v>363.54485672325535</c:v>
                </c:pt>
                <c:pt idx="6">
                  <c:v>327.69674093728702</c:v>
                </c:pt>
                <c:pt idx="7">
                  <c:v>305.7400121300717</c:v>
                </c:pt>
                <c:pt idx="8">
                  <c:v>288.15142682271249</c:v>
                </c:pt>
                <c:pt idx="9">
                  <c:v>277.00341374619165</c:v>
                </c:pt>
                <c:pt idx="10">
                  <c:v>271.40687763299695</c:v>
                </c:pt>
                <c:pt idx="11">
                  <c:v>267.62383386625328</c:v>
                </c:pt>
                <c:pt idx="12">
                  <c:v>266.40136900115937</c:v>
                </c:pt>
                <c:pt idx="13">
                  <c:v>263.20237700889044</c:v>
                </c:pt>
                <c:pt idx="14">
                  <c:v>254.39763064218485</c:v>
                </c:pt>
                <c:pt idx="15">
                  <c:v>247.03831572086622</c:v>
                </c:pt>
                <c:pt idx="16">
                  <c:v>235.82651189616089</c:v>
                </c:pt>
                <c:pt idx="17">
                  <c:v>235.63724843411885</c:v>
                </c:pt>
                <c:pt idx="18">
                  <c:v>230.85134278832484</c:v>
                </c:pt>
                <c:pt idx="19">
                  <c:v>226.87216329804284</c:v>
                </c:pt>
                <c:pt idx="20">
                  <c:v>225.03992835009072</c:v>
                </c:pt>
                <c:pt idx="21">
                  <c:v>221.91748847522905</c:v>
                </c:pt>
                <c:pt idx="22">
                  <c:v>205.55398595685185</c:v>
                </c:pt>
                <c:pt idx="23">
                  <c:v>200.82653908532197</c:v>
                </c:pt>
                <c:pt idx="24">
                  <c:v>191.26043884644713</c:v>
                </c:pt>
                <c:pt idx="25">
                  <c:v>174.68550953866961</c:v>
                </c:pt>
                <c:pt idx="26">
                  <c:v>163.87766760143782</c:v>
                </c:pt>
                <c:pt idx="27">
                  <c:v>145.55125931181271</c:v>
                </c:pt>
                <c:pt idx="28">
                  <c:v>118.2873250776006</c:v>
                </c:pt>
                <c:pt idx="29">
                  <c:v>106.63345293872547</c:v>
                </c:pt>
              </c:numCache>
            </c:numRef>
          </c:val>
          <c:extLst xmlns:c16r2="http://schemas.microsoft.com/office/drawing/2015/06/chart">
            <c:ext xmlns:c16="http://schemas.microsoft.com/office/drawing/2014/chart" uri="{C3380CC4-5D6E-409C-BE32-E72D297353CC}">
              <c16:uniqueId val="{00000002-587A-40DF-96C6-137E33D04CF7}"/>
            </c:ext>
          </c:extLst>
        </c:ser>
        <c:dLbls>
          <c:showLegendKey val="0"/>
          <c:showVal val="0"/>
          <c:showCatName val="0"/>
          <c:showSerName val="0"/>
          <c:showPercent val="0"/>
          <c:showBubbleSize val="0"/>
        </c:dLbls>
        <c:gapWidth val="108"/>
        <c:overlap val="-27"/>
        <c:axId val="424811576"/>
        <c:axId val="424813536"/>
      </c:barChart>
      <c:lineChart>
        <c:grouping val="standard"/>
        <c:varyColors val="0"/>
        <c:ser>
          <c:idx val="1"/>
          <c:order val="1"/>
          <c:tx>
            <c:strRef>
              <c:f>'[IPP datova_priloha_priebeznej_spravy.xlsx]Graf_97'!$AG$11</c:f>
              <c:strCache>
                <c:ptCount val="1"/>
                <c:pt idx="0">
                  <c:v>EU28</c:v>
                </c:pt>
              </c:strCache>
            </c:strRef>
          </c:tx>
          <c:spPr>
            <a:ln w="28575" cap="rnd">
              <a:solidFill>
                <a:srgbClr val="605D5C"/>
              </a:solidFill>
              <a:round/>
            </a:ln>
            <a:effectLst/>
          </c:spPr>
          <c:marker>
            <c:symbol val="none"/>
          </c:marker>
          <c:val>
            <c:numRef>
              <c:f>'[IPP datova_priloha_priebeznej_spravy.xlsx]Graf_97'!$AG$12:$AG$41</c:f>
              <c:numCache>
                <c:formatCode>General</c:formatCode>
                <c:ptCount val="30"/>
                <c:pt idx="0">
                  <c:v>257.02469647736473</c:v>
                </c:pt>
                <c:pt idx="1">
                  <c:v>257.02469647736473</c:v>
                </c:pt>
                <c:pt idx="2">
                  <c:v>257.02469647736473</c:v>
                </c:pt>
                <c:pt idx="3">
                  <c:v>257.02469647736473</c:v>
                </c:pt>
                <c:pt idx="4">
                  <c:v>257.02469647736473</c:v>
                </c:pt>
                <c:pt idx="5">
                  <c:v>257.02469647736473</c:v>
                </c:pt>
                <c:pt idx="6">
                  <c:v>257.02469647736473</c:v>
                </c:pt>
                <c:pt idx="7">
                  <c:v>257.02469647736473</c:v>
                </c:pt>
                <c:pt idx="8">
                  <c:v>257.02469647736473</c:v>
                </c:pt>
                <c:pt idx="9">
                  <c:v>257.02469647736473</c:v>
                </c:pt>
                <c:pt idx="10">
                  <c:v>257.02469647736473</c:v>
                </c:pt>
                <c:pt idx="11">
                  <c:v>257.02469647736473</c:v>
                </c:pt>
                <c:pt idx="12">
                  <c:v>257.02469647736473</c:v>
                </c:pt>
                <c:pt idx="13">
                  <c:v>257.02469647736473</c:v>
                </c:pt>
                <c:pt idx="14">
                  <c:v>257.02469647736473</c:v>
                </c:pt>
                <c:pt idx="15">
                  <c:v>257.02469647736473</c:v>
                </c:pt>
                <c:pt idx="16">
                  <c:v>257.02469647736473</c:v>
                </c:pt>
                <c:pt idx="17">
                  <c:v>257.02469647736473</c:v>
                </c:pt>
                <c:pt idx="18">
                  <c:v>257.02469647736473</c:v>
                </c:pt>
                <c:pt idx="19">
                  <c:v>257.02469647736473</c:v>
                </c:pt>
                <c:pt idx="20">
                  <c:v>257.02469647736473</c:v>
                </c:pt>
                <c:pt idx="21">
                  <c:v>257.02469647736473</c:v>
                </c:pt>
                <c:pt idx="22">
                  <c:v>257.02469647736473</c:v>
                </c:pt>
                <c:pt idx="23">
                  <c:v>257.02469647736473</c:v>
                </c:pt>
                <c:pt idx="24">
                  <c:v>257.02469647736473</c:v>
                </c:pt>
                <c:pt idx="25">
                  <c:v>257.02469647736473</c:v>
                </c:pt>
                <c:pt idx="26">
                  <c:v>257.02469647736473</c:v>
                </c:pt>
                <c:pt idx="27">
                  <c:v>257.02469647736473</c:v>
                </c:pt>
                <c:pt idx="28">
                  <c:v>257.02469647736473</c:v>
                </c:pt>
                <c:pt idx="29">
                  <c:v>257.02469647736473</c:v>
                </c:pt>
              </c:numCache>
            </c:numRef>
          </c:val>
          <c:smooth val="0"/>
          <c:extLst xmlns:c16r2="http://schemas.microsoft.com/office/drawing/2015/06/chart">
            <c:ext xmlns:c16="http://schemas.microsoft.com/office/drawing/2014/chart" uri="{C3380CC4-5D6E-409C-BE32-E72D297353CC}">
              <c16:uniqueId val="{00000002-D5E0-41D5-A0F3-CEDA40A3036F}"/>
            </c:ext>
          </c:extLst>
        </c:ser>
        <c:dLbls>
          <c:showLegendKey val="0"/>
          <c:showVal val="0"/>
          <c:showCatName val="0"/>
          <c:showSerName val="0"/>
          <c:showPercent val="0"/>
          <c:showBubbleSize val="0"/>
        </c:dLbls>
        <c:marker val="1"/>
        <c:smooth val="0"/>
        <c:axId val="424811576"/>
        <c:axId val="424813536"/>
      </c:lineChart>
      <c:catAx>
        <c:axId val="424811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crossAx val="424813536"/>
        <c:crosses val="autoZero"/>
        <c:auto val="1"/>
        <c:lblAlgn val="ctr"/>
        <c:lblOffset val="100"/>
        <c:noMultiLvlLbl val="0"/>
      </c:catAx>
      <c:valAx>
        <c:axId val="424813536"/>
        <c:scaling>
          <c:orientation val="minMax"/>
          <c:max val="620"/>
          <c:min val="0"/>
        </c:scaling>
        <c:delete val="0"/>
        <c:axPos val="l"/>
        <c:majorGridlines>
          <c:spPr>
            <a:ln w="9525" cap="flat" cmpd="sng" algn="ctr">
              <a:solidFill>
                <a:schemeClr val="bg1">
                  <a:lumMod val="65000"/>
                </a:schemeClr>
              </a:solidFill>
              <a:prstDash val="dash"/>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crossAx val="424811576"/>
        <c:crosses val="autoZero"/>
        <c:crossBetween val="between"/>
        <c:minorUnit val="100"/>
      </c:valAx>
      <c:spPr>
        <a:noFill/>
        <a:ln>
          <a:noFill/>
        </a:ln>
        <a:effectLst/>
      </c:spPr>
    </c:plotArea>
    <c:legend>
      <c:legendPos val="r"/>
      <c:legendEntry>
        <c:idx val="0"/>
        <c:delete val="1"/>
      </c:legendEntry>
      <c:layout>
        <c:manualLayout>
          <c:xMode val="edge"/>
          <c:yMode val="edge"/>
          <c:x val="0.7895445514082563"/>
          <c:y val="0.27986615011793292"/>
          <c:w val="6.962982072623751E-2"/>
          <c:h val="5.350002422071487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Narrow" panose="020B0606020202030204" pitchFamily="34" charset="0"/>
        </a:defRPr>
      </a:pPr>
      <a:endParaRPr lang="sk-SK"/>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5</Pages>
  <Words>2390</Words>
  <Characters>13623</Characters>
  <Application>Microsoft Office Word</Application>
  <DocSecurity>0</DocSecurity>
  <Lines>113</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Vladimíra Debnárová</dc:creator>
  <cp:keywords/>
  <dc:description/>
  <cp:lastModifiedBy>Vladimíra Debnárová</cp:lastModifiedBy>
  <cp:revision>70</cp:revision>
  <dcterms:created xsi:type="dcterms:W3CDTF">2019-12-16T13:04:00Z</dcterms:created>
  <dcterms:modified xsi:type="dcterms:W3CDTF">2019-12-17T11:42:00Z</dcterms:modified>
</cp:coreProperties>
</file>