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BD" w:rsidRPr="00B67A35" w:rsidRDefault="00CC4BBD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CC6" w:rsidRPr="00972CC6" w:rsidRDefault="00B67A35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Informačný s</w:t>
      </w:r>
      <w:r w:rsidR="00CC4BBD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 xml:space="preserve">eriál </w:t>
      </w:r>
      <w:r w:rsidR="00972CC6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Združenia pestovateľov obilnín</w:t>
      </w:r>
    </w:p>
    <w:p w:rsidR="004C0166" w:rsidRPr="00972CC6" w:rsidRDefault="00CC4BBD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o budúcej Spoločnej poľnohospodárskej politike EÚ na roky 2021-2027</w:t>
      </w:r>
    </w:p>
    <w:p w:rsidR="00B67A35" w:rsidRPr="009A3BA8" w:rsidRDefault="00B67A35" w:rsidP="00B67A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2CC6" w:rsidRPr="007E3598" w:rsidRDefault="00972CC6" w:rsidP="007E3598">
      <w:pPr>
        <w:pStyle w:val="Odsekzoznamu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3598">
        <w:rPr>
          <w:rFonts w:ascii="Arial" w:hAnsi="Arial" w:cs="Arial"/>
          <w:b/>
          <w:sz w:val="28"/>
          <w:szCs w:val="28"/>
        </w:rPr>
        <w:t>ČASŤ:</w:t>
      </w:r>
    </w:p>
    <w:p w:rsidR="001A23D9" w:rsidRPr="003C501D" w:rsidRDefault="009045D6" w:rsidP="003C501D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Spoločná organizácia trhu s obilninami</w:t>
      </w:r>
      <w:r w:rsidR="007F0BC6">
        <w:rPr>
          <w:rFonts w:ascii="Arial" w:hAnsi="Arial" w:cs="Arial"/>
          <w:b/>
          <w:sz w:val="28"/>
          <w:szCs w:val="28"/>
        </w:rPr>
        <w:t xml:space="preserve"> </w:t>
      </w:r>
      <w:r w:rsidR="004137C3">
        <w:rPr>
          <w:rFonts w:ascii="Arial" w:hAnsi="Arial" w:cs="Arial"/>
          <w:b/>
          <w:sz w:val="28"/>
          <w:szCs w:val="28"/>
        </w:rPr>
        <w:t>v rokoch 2021-2027</w:t>
      </w:r>
    </w:p>
    <w:p w:rsidR="0010493C" w:rsidRDefault="0010493C" w:rsidP="00A06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5D6" w:rsidRPr="0010493C" w:rsidRDefault="009045D6" w:rsidP="00A06F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01ED8" w:rsidRDefault="002C31F2" w:rsidP="003C64F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vstupu</w:t>
      </w:r>
      <w:r w:rsidR="00341049">
        <w:rPr>
          <w:rFonts w:ascii="Arial" w:hAnsi="Arial" w:cs="Arial"/>
          <w:sz w:val="24"/>
          <w:szCs w:val="24"/>
        </w:rPr>
        <w:t xml:space="preserve"> Slovenskej republiky do Európskej únie (1.5.2004) sa u nás uplatňujú pravidlá „Spoločnej organizácie trhu“ </w:t>
      </w:r>
      <w:r w:rsidR="00101ED8">
        <w:rPr>
          <w:rFonts w:ascii="Arial" w:hAnsi="Arial" w:cs="Arial"/>
          <w:sz w:val="24"/>
          <w:szCs w:val="24"/>
        </w:rPr>
        <w:t xml:space="preserve">(SOT) EÚ </w:t>
      </w:r>
      <w:r w:rsidR="00341049">
        <w:rPr>
          <w:rFonts w:ascii="Arial" w:hAnsi="Arial" w:cs="Arial"/>
          <w:sz w:val="24"/>
          <w:szCs w:val="24"/>
        </w:rPr>
        <w:t>pre vybrané komodity, vrátane obilnín</w:t>
      </w:r>
      <w:r w:rsidR="00101ED8">
        <w:rPr>
          <w:rFonts w:ascii="Arial" w:hAnsi="Arial" w:cs="Arial"/>
          <w:sz w:val="24"/>
          <w:szCs w:val="24"/>
        </w:rPr>
        <w:t xml:space="preserve"> a určitých výrobkov spracovaných z</w:t>
      </w:r>
      <w:r w:rsidR="00704FA6">
        <w:rPr>
          <w:rFonts w:ascii="Arial" w:hAnsi="Arial" w:cs="Arial"/>
          <w:sz w:val="24"/>
          <w:szCs w:val="24"/>
        </w:rPr>
        <w:t> </w:t>
      </w:r>
      <w:r w:rsidR="00101ED8">
        <w:rPr>
          <w:rFonts w:ascii="Arial" w:hAnsi="Arial" w:cs="Arial"/>
          <w:sz w:val="24"/>
          <w:szCs w:val="24"/>
        </w:rPr>
        <w:t>obilnín</w:t>
      </w:r>
      <w:r w:rsidR="00704FA6">
        <w:rPr>
          <w:rFonts w:ascii="Arial" w:hAnsi="Arial" w:cs="Arial"/>
          <w:sz w:val="24"/>
          <w:szCs w:val="24"/>
        </w:rPr>
        <w:t xml:space="preserve"> (uvedených v Prílohe I – časť I </w:t>
      </w:r>
      <w:r w:rsidR="00704FA6" w:rsidRPr="00704FA6">
        <w:rPr>
          <w:rFonts w:ascii="Arial" w:hAnsi="Arial" w:cs="Arial"/>
          <w:color w:val="002060"/>
          <w:sz w:val="24"/>
          <w:szCs w:val="24"/>
        </w:rPr>
        <w:t xml:space="preserve">Nariadenia </w:t>
      </w:r>
      <w:proofErr w:type="spellStart"/>
      <w:r w:rsidR="00704FA6" w:rsidRPr="00704FA6">
        <w:rPr>
          <w:rFonts w:ascii="Arial" w:hAnsi="Arial" w:cs="Arial"/>
          <w:color w:val="002060"/>
          <w:sz w:val="24"/>
          <w:szCs w:val="24"/>
        </w:rPr>
        <w:t>EPaR</w:t>
      </w:r>
      <w:proofErr w:type="spellEnd"/>
      <w:r w:rsidR="00704FA6" w:rsidRPr="00704FA6">
        <w:rPr>
          <w:rFonts w:ascii="Arial" w:hAnsi="Arial" w:cs="Arial"/>
          <w:color w:val="002060"/>
          <w:sz w:val="24"/>
          <w:szCs w:val="24"/>
        </w:rPr>
        <w:t xml:space="preserve"> č.1308/2013, OJ L 347 z 20.12.2013</w:t>
      </w:r>
      <w:r w:rsidR="00704FA6">
        <w:rPr>
          <w:rFonts w:ascii="Arial" w:hAnsi="Arial" w:cs="Arial"/>
          <w:sz w:val="24"/>
          <w:szCs w:val="24"/>
        </w:rPr>
        <w:t>)</w:t>
      </w:r>
      <w:r w:rsidR="00341049">
        <w:rPr>
          <w:rFonts w:ascii="Arial" w:hAnsi="Arial" w:cs="Arial"/>
          <w:sz w:val="24"/>
          <w:szCs w:val="24"/>
        </w:rPr>
        <w:t>.</w:t>
      </w:r>
      <w:r w:rsidR="00101ED8">
        <w:rPr>
          <w:rFonts w:ascii="Arial" w:hAnsi="Arial" w:cs="Arial"/>
          <w:sz w:val="24"/>
          <w:szCs w:val="24"/>
        </w:rPr>
        <w:t xml:space="preserve"> V súčasnosti platí Nariadenie Európskeho Parlamentu a Rady (ES) </w:t>
      </w:r>
      <w:r w:rsidR="00101ED8" w:rsidRPr="00101ED8">
        <w:rPr>
          <w:rFonts w:ascii="Arial" w:hAnsi="Arial" w:cs="Arial"/>
          <w:b/>
          <w:sz w:val="24"/>
          <w:szCs w:val="24"/>
        </w:rPr>
        <w:t>č.1308/2013</w:t>
      </w:r>
      <w:r w:rsidR="00101ED8">
        <w:rPr>
          <w:rFonts w:ascii="Arial" w:hAnsi="Arial" w:cs="Arial"/>
          <w:sz w:val="24"/>
          <w:szCs w:val="24"/>
        </w:rPr>
        <w:t xml:space="preserve">, Nariadenie Rady (EÚ) </w:t>
      </w:r>
      <w:r w:rsidR="00101ED8" w:rsidRPr="00101ED8">
        <w:rPr>
          <w:rFonts w:ascii="Arial" w:hAnsi="Arial" w:cs="Arial"/>
          <w:b/>
          <w:sz w:val="24"/>
          <w:szCs w:val="24"/>
        </w:rPr>
        <w:t>č.1370/2013</w:t>
      </w:r>
      <w:r w:rsidR="00101ED8">
        <w:rPr>
          <w:rFonts w:ascii="Arial" w:hAnsi="Arial" w:cs="Arial"/>
          <w:sz w:val="24"/>
          <w:szCs w:val="24"/>
        </w:rPr>
        <w:t>, ktoré sú pre systém SOT s obilninami zásadné. Zároveň ich dopĺňajú desiatky ďalších európskych nariadení, delegovaných nariadení a rozhodnutí (celý zoznam nájdete v </w:t>
      </w:r>
      <w:r w:rsidR="00101ED8" w:rsidRPr="004D7999">
        <w:rPr>
          <w:rFonts w:ascii="Arial" w:hAnsi="Arial" w:cs="Arial"/>
          <w:color w:val="002060"/>
          <w:sz w:val="24"/>
          <w:szCs w:val="24"/>
        </w:rPr>
        <w:t>Situačnej a výhľadovej správe NPPC-VÚEPP pre obilniny</w:t>
      </w:r>
      <w:r w:rsidR="00101ED8">
        <w:rPr>
          <w:rFonts w:ascii="Arial" w:hAnsi="Arial" w:cs="Arial"/>
          <w:sz w:val="24"/>
          <w:szCs w:val="24"/>
        </w:rPr>
        <w:t>).</w:t>
      </w:r>
    </w:p>
    <w:p w:rsidR="007E3598" w:rsidRDefault="00341049" w:rsidP="003C64F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Hlavnými nástrojmi organizácie trhu s obilím sú:</w:t>
      </w:r>
    </w:p>
    <w:p w:rsidR="005730DC" w:rsidRDefault="00341049" w:rsidP="005730DC">
      <w:pPr>
        <w:pStyle w:val="Odsekzoznamu"/>
        <w:numPr>
          <w:ilvl w:val="0"/>
          <w:numId w:val="2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B1747">
        <w:rPr>
          <w:rFonts w:ascii="Arial" w:hAnsi="Arial" w:cs="Arial"/>
          <w:b/>
          <w:sz w:val="24"/>
          <w:szCs w:val="24"/>
        </w:rPr>
        <w:t>Hospodársky rok</w:t>
      </w:r>
      <w:r w:rsidR="005B1747">
        <w:rPr>
          <w:rFonts w:ascii="Arial" w:hAnsi="Arial" w:cs="Arial"/>
          <w:sz w:val="24"/>
          <w:szCs w:val="24"/>
        </w:rPr>
        <w:t xml:space="preserve"> – trvá od 1.júla do 30.júna nasledujúceho roka (napr. 1.7.2018-30.6.2019).</w:t>
      </w:r>
    </w:p>
    <w:p w:rsidR="00341049" w:rsidRPr="00EC69C1" w:rsidRDefault="00341049" w:rsidP="00EC69C1">
      <w:pPr>
        <w:pStyle w:val="Odsekzoznamu"/>
        <w:numPr>
          <w:ilvl w:val="0"/>
          <w:numId w:val="2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730DC">
        <w:rPr>
          <w:rFonts w:ascii="Arial" w:hAnsi="Arial" w:cs="Arial"/>
          <w:b/>
          <w:sz w:val="24"/>
          <w:szCs w:val="24"/>
        </w:rPr>
        <w:t>Intervenčný nákup</w:t>
      </w:r>
      <w:r w:rsidRPr="005730DC">
        <w:rPr>
          <w:rFonts w:ascii="Arial" w:hAnsi="Arial" w:cs="Arial"/>
          <w:sz w:val="24"/>
          <w:szCs w:val="24"/>
        </w:rPr>
        <w:t>, skladovanie a predaj z</w:t>
      </w:r>
      <w:r w:rsidR="005B1747" w:rsidRPr="005730DC">
        <w:rPr>
          <w:rFonts w:ascii="Arial" w:hAnsi="Arial" w:cs="Arial"/>
          <w:sz w:val="24"/>
          <w:szCs w:val="24"/>
        </w:rPr>
        <w:t> </w:t>
      </w:r>
      <w:r w:rsidRPr="005730DC">
        <w:rPr>
          <w:rFonts w:ascii="Arial" w:hAnsi="Arial" w:cs="Arial"/>
          <w:sz w:val="24"/>
          <w:szCs w:val="24"/>
        </w:rPr>
        <w:t>intervencie</w:t>
      </w:r>
      <w:r w:rsidR="005B1747" w:rsidRPr="005730DC">
        <w:rPr>
          <w:rFonts w:ascii="Arial" w:hAnsi="Arial" w:cs="Arial"/>
          <w:sz w:val="24"/>
          <w:szCs w:val="24"/>
        </w:rPr>
        <w:t xml:space="preserve"> </w:t>
      </w:r>
      <w:r w:rsidR="00101ED8" w:rsidRPr="005730DC">
        <w:rPr>
          <w:rFonts w:ascii="Arial" w:hAnsi="Arial" w:cs="Arial"/>
          <w:sz w:val="24"/>
          <w:szCs w:val="24"/>
        </w:rPr>
        <w:t>–</w:t>
      </w:r>
      <w:r w:rsidR="005B1747" w:rsidRPr="005730DC">
        <w:rPr>
          <w:rFonts w:ascii="Arial" w:hAnsi="Arial" w:cs="Arial"/>
          <w:sz w:val="24"/>
          <w:szCs w:val="24"/>
        </w:rPr>
        <w:t xml:space="preserve"> </w:t>
      </w:r>
      <w:r w:rsidR="00101ED8" w:rsidRPr="005730DC">
        <w:rPr>
          <w:rFonts w:ascii="Arial" w:hAnsi="Arial" w:cs="Arial"/>
          <w:sz w:val="24"/>
          <w:szCs w:val="24"/>
        </w:rPr>
        <w:t>bol zavedený ako „záchranná sieť“ pre tých poľnohospodárov, ktorým sa nepodarí realizovať svoju produkciu obilia na voľnom trhu. Po splnení určitých podmienok môžu aj dnes</w:t>
      </w:r>
      <w:r w:rsidR="00966242" w:rsidRPr="005730DC">
        <w:rPr>
          <w:rFonts w:ascii="Arial" w:hAnsi="Arial" w:cs="Arial"/>
          <w:sz w:val="24"/>
          <w:szCs w:val="24"/>
        </w:rPr>
        <w:t xml:space="preserve"> v rámci intervenčného obdobia 1.11. až 31.5.</w:t>
      </w:r>
      <w:r w:rsidR="00101ED8" w:rsidRPr="005730DC">
        <w:rPr>
          <w:rFonts w:ascii="Arial" w:hAnsi="Arial" w:cs="Arial"/>
          <w:sz w:val="24"/>
          <w:szCs w:val="24"/>
        </w:rPr>
        <w:t xml:space="preserve"> ponúknuť do intervenčného nákupu </w:t>
      </w:r>
      <w:r w:rsidR="00966242" w:rsidRPr="005730DC">
        <w:rPr>
          <w:rFonts w:ascii="Arial" w:hAnsi="Arial" w:cs="Arial"/>
          <w:sz w:val="24"/>
          <w:szCs w:val="24"/>
        </w:rPr>
        <w:t xml:space="preserve">min. 100 ton pšenice obyčajnej (do limitu 3 mil. t). Intervenčná cena je 101,31 euro/t </w:t>
      </w:r>
      <w:r w:rsidR="00CF0AF8" w:rsidRPr="005730DC">
        <w:rPr>
          <w:rFonts w:ascii="Arial" w:hAnsi="Arial" w:cs="Arial"/>
          <w:sz w:val="24"/>
          <w:szCs w:val="24"/>
        </w:rPr>
        <w:t xml:space="preserve">pre štandardnú kvalitu </w:t>
      </w:r>
      <w:r w:rsidR="00966242" w:rsidRPr="005730DC">
        <w:rPr>
          <w:rFonts w:ascii="Arial" w:hAnsi="Arial" w:cs="Arial"/>
          <w:sz w:val="24"/>
          <w:szCs w:val="24"/>
        </w:rPr>
        <w:t>a je jednotná pre celé územie EÚ.</w:t>
      </w:r>
      <w:r w:rsidR="00EC69C1">
        <w:rPr>
          <w:rFonts w:ascii="Arial" w:hAnsi="Arial" w:cs="Arial"/>
          <w:sz w:val="24"/>
          <w:szCs w:val="24"/>
        </w:rPr>
        <w:t xml:space="preserve"> </w:t>
      </w:r>
      <w:r w:rsidR="00EC69C1" w:rsidRPr="00EC69C1">
        <w:rPr>
          <w:rFonts w:ascii="Arial" w:hAnsi="Arial" w:cs="Arial"/>
          <w:sz w:val="24"/>
          <w:szCs w:val="24"/>
        </w:rPr>
        <w:t xml:space="preserve">Systém verejnej intervencie je financovaný z Európskeho poľnohospodárskeho záručného fondu (EPZF). </w:t>
      </w:r>
      <w:r w:rsidR="00966242" w:rsidRPr="00EC69C1">
        <w:rPr>
          <w:rFonts w:ascii="Arial" w:hAnsi="Arial" w:cs="Arial"/>
          <w:sz w:val="24"/>
          <w:szCs w:val="24"/>
        </w:rPr>
        <w:t xml:space="preserve">Kompetentným orgánom je Pôdohospodárska platobná agentúra, ktorá </w:t>
      </w:r>
      <w:r w:rsidR="00CF0AF8" w:rsidRPr="00EC69C1">
        <w:rPr>
          <w:rFonts w:ascii="Arial" w:hAnsi="Arial" w:cs="Arial"/>
          <w:sz w:val="24"/>
          <w:szCs w:val="24"/>
        </w:rPr>
        <w:t xml:space="preserve">tiež uzatvára zmluvy s intervenčnými skladmi na Slovensku (aktuálna kapacita 26 skladov je 340 000 </w:t>
      </w:r>
      <w:r w:rsidR="00EC69C1">
        <w:rPr>
          <w:rFonts w:ascii="Arial" w:hAnsi="Arial" w:cs="Arial"/>
          <w:sz w:val="24"/>
          <w:szCs w:val="24"/>
        </w:rPr>
        <w:t>ton). V praxi sa však už intervenčný nákup v EÚ neuplatňuje niekoľko rokov.</w:t>
      </w:r>
    </w:p>
    <w:p w:rsidR="00966242" w:rsidRDefault="00CF0AF8" w:rsidP="002C07D8">
      <w:pPr>
        <w:pStyle w:val="Odsekzoznamu"/>
        <w:spacing w:after="60" w:line="240" w:lineRule="auto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F0AF8">
        <w:rPr>
          <w:rFonts w:ascii="Arial" w:hAnsi="Arial" w:cs="Arial"/>
          <w:i/>
          <w:sz w:val="24"/>
          <w:szCs w:val="24"/>
        </w:rPr>
        <w:t>Pozn. v</w:t>
      </w:r>
      <w:r w:rsidR="00966242" w:rsidRPr="00CF0AF8">
        <w:rPr>
          <w:rFonts w:ascii="Arial" w:hAnsi="Arial" w:cs="Arial"/>
          <w:i/>
          <w:sz w:val="24"/>
          <w:szCs w:val="24"/>
        </w:rPr>
        <w:t> prvom roku vstupu Slovenska do únie bol záujem slo</w:t>
      </w:r>
      <w:r>
        <w:rPr>
          <w:rFonts w:ascii="Arial" w:hAnsi="Arial" w:cs="Arial"/>
          <w:i/>
          <w:sz w:val="24"/>
          <w:szCs w:val="24"/>
        </w:rPr>
        <w:t>venských pestovateľ</w:t>
      </w:r>
      <w:r w:rsidR="00966242" w:rsidRPr="00CF0AF8">
        <w:rPr>
          <w:rFonts w:ascii="Arial" w:hAnsi="Arial" w:cs="Arial"/>
          <w:i/>
          <w:sz w:val="24"/>
          <w:szCs w:val="24"/>
        </w:rPr>
        <w:t xml:space="preserve">ov o intervenčný nákup enormný. </w:t>
      </w:r>
      <w:r w:rsidRPr="00CF0AF8">
        <w:rPr>
          <w:rFonts w:ascii="Arial" w:hAnsi="Arial" w:cs="Arial"/>
          <w:i/>
          <w:sz w:val="24"/>
          <w:szCs w:val="24"/>
        </w:rPr>
        <w:t xml:space="preserve">V súčasnosti sa cena na voľnom trhu </w:t>
      </w:r>
      <w:r>
        <w:rPr>
          <w:rFonts w:ascii="Arial" w:hAnsi="Arial" w:cs="Arial"/>
          <w:i/>
          <w:sz w:val="24"/>
          <w:szCs w:val="24"/>
        </w:rPr>
        <w:t>pohybuje na</w:t>
      </w:r>
      <w:r w:rsidRPr="00CF0AF8">
        <w:rPr>
          <w:rFonts w:ascii="Arial" w:hAnsi="Arial" w:cs="Arial"/>
          <w:i/>
          <w:sz w:val="24"/>
          <w:szCs w:val="24"/>
        </w:rPr>
        <w:t xml:space="preserve"> vyššej úrovni, a tak </w:t>
      </w:r>
      <w:r w:rsidR="00EC69C1">
        <w:rPr>
          <w:rFonts w:ascii="Arial" w:hAnsi="Arial" w:cs="Arial"/>
          <w:i/>
          <w:sz w:val="24"/>
          <w:szCs w:val="24"/>
        </w:rPr>
        <w:t>nie je záujem o predaj do intervencie.</w:t>
      </w:r>
    </w:p>
    <w:p w:rsidR="00231A96" w:rsidRPr="00231A96" w:rsidRDefault="00231A96" w:rsidP="002C07D8">
      <w:pPr>
        <w:pStyle w:val="Odsekzoznamu"/>
        <w:spacing w:after="6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31A96">
        <w:rPr>
          <w:rFonts w:ascii="Arial" w:hAnsi="Arial" w:cs="Arial"/>
          <w:sz w:val="24"/>
          <w:szCs w:val="24"/>
        </w:rPr>
        <w:t>Predaj</w:t>
      </w:r>
      <w:r>
        <w:rPr>
          <w:rFonts w:ascii="Arial" w:hAnsi="Arial" w:cs="Arial"/>
          <w:sz w:val="24"/>
          <w:szCs w:val="24"/>
        </w:rPr>
        <w:t xml:space="preserve"> intervenčných zásob obilnín realizuje Európska Komisia formou výziev (tendrov), avšak prioritne sú zásoby využívané na program potravinovej pomoci najodkázanejším osobám v krajinách EÚ. Od júla 2013 je stav intervenčných zásob obilnín v EÚ nulový. </w:t>
      </w:r>
    </w:p>
    <w:p w:rsidR="00341049" w:rsidRPr="005B1747" w:rsidRDefault="00341049" w:rsidP="005B1747">
      <w:pPr>
        <w:pStyle w:val="Odsekzoznamu"/>
        <w:numPr>
          <w:ilvl w:val="0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937C97">
        <w:rPr>
          <w:rFonts w:ascii="Arial" w:hAnsi="Arial" w:cs="Arial"/>
          <w:b/>
          <w:sz w:val="24"/>
          <w:szCs w:val="24"/>
        </w:rPr>
        <w:t>Obchodovanie s tretími krajinami</w:t>
      </w:r>
      <w:r w:rsidRPr="005B1747">
        <w:rPr>
          <w:rFonts w:ascii="Arial" w:hAnsi="Arial" w:cs="Arial"/>
          <w:sz w:val="24"/>
          <w:szCs w:val="24"/>
        </w:rPr>
        <w:t xml:space="preserve"> (</w:t>
      </w:r>
      <w:r w:rsidR="00101ED8">
        <w:rPr>
          <w:rFonts w:ascii="Arial" w:hAnsi="Arial" w:cs="Arial"/>
          <w:sz w:val="24"/>
          <w:szCs w:val="24"/>
        </w:rPr>
        <w:t xml:space="preserve">licencie, </w:t>
      </w:r>
      <w:r w:rsidRPr="005B1747">
        <w:rPr>
          <w:rFonts w:ascii="Arial" w:hAnsi="Arial" w:cs="Arial"/>
          <w:sz w:val="24"/>
          <w:szCs w:val="24"/>
        </w:rPr>
        <w:t xml:space="preserve">dovozné </w:t>
      </w:r>
      <w:r w:rsidR="00101ED8">
        <w:rPr>
          <w:rFonts w:ascii="Arial" w:hAnsi="Arial" w:cs="Arial"/>
          <w:sz w:val="24"/>
          <w:szCs w:val="24"/>
        </w:rPr>
        <w:t>clá, vývozné náhrady</w:t>
      </w:r>
      <w:r w:rsidRPr="005B1747">
        <w:rPr>
          <w:rFonts w:ascii="Arial" w:hAnsi="Arial" w:cs="Arial"/>
          <w:sz w:val="24"/>
          <w:szCs w:val="24"/>
        </w:rPr>
        <w:t>)</w:t>
      </w:r>
      <w:r w:rsidR="00231A96">
        <w:rPr>
          <w:rFonts w:ascii="Arial" w:hAnsi="Arial" w:cs="Arial"/>
          <w:sz w:val="24"/>
          <w:szCs w:val="24"/>
        </w:rPr>
        <w:t xml:space="preserve"> </w:t>
      </w:r>
      <w:r w:rsidR="004D7999">
        <w:rPr>
          <w:rFonts w:ascii="Arial" w:hAnsi="Arial" w:cs="Arial"/>
          <w:sz w:val="24"/>
          <w:szCs w:val="24"/>
        </w:rPr>
        <w:t>–</w:t>
      </w:r>
      <w:r w:rsidR="00231A96">
        <w:rPr>
          <w:rFonts w:ascii="Arial" w:hAnsi="Arial" w:cs="Arial"/>
          <w:sz w:val="24"/>
          <w:szCs w:val="24"/>
        </w:rPr>
        <w:t xml:space="preserve"> </w:t>
      </w:r>
      <w:r w:rsidR="004D7999">
        <w:rPr>
          <w:rFonts w:ascii="Arial" w:hAnsi="Arial" w:cs="Arial"/>
          <w:sz w:val="24"/>
          <w:szCs w:val="24"/>
        </w:rPr>
        <w:t>účelom dovozného režimu je ochrana domáceho trhu</w:t>
      </w:r>
      <w:r w:rsidR="00657998">
        <w:rPr>
          <w:rFonts w:ascii="Arial" w:hAnsi="Arial" w:cs="Arial"/>
          <w:sz w:val="24"/>
          <w:szCs w:val="24"/>
        </w:rPr>
        <w:t xml:space="preserve"> pred lacnejším tovarom</w:t>
      </w:r>
      <w:r w:rsidR="004D7999">
        <w:rPr>
          <w:rFonts w:ascii="Arial" w:hAnsi="Arial" w:cs="Arial"/>
          <w:sz w:val="24"/>
          <w:szCs w:val="24"/>
        </w:rPr>
        <w:t>, a preto Eur</w:t>
      </w:r>
      <w:r w:rsidR="00657998">
        <w:rPr>
          <w:rFonts w:ascii="Arial" w:hAnsi="Arial" w:cs="Arial"/>
          <w:sz w:val="24"/>
          <w:szCs w:val="24"/>
        </w:rPr>
        <w:t>ópska Komisia schvaľuje dovozné licencie na určité objemy. Dovozný poplatok (clo) sa mení podľa svetovej ceny, ale nesmie presiahnuť maximum stanovené obchodnou dohodou GATT (s určitými výnimkami). EÚ má s niektorými krajinami uzatvorené obchodné dohody na dovoz produktov so zníženým clom (napr. africké krajiny, Ukrajina atď.).</w:t>
      </w:r>
      <w:r w:rsidR="009F0543">
        <w:rPr>
          <w:rFonts w:ascii="Arial" w:hAnsi="Arial" w:cs="Arial"/>
          <w:sz w:val="24"/>
          <w:szCs w:val="24"/>
        </w:rPr>
        <w:t xml:space="preserve"> Dovozné clo sa neuplatňuje ani v rámci tzv. „zušľachťovacieho styku“, kedy sa nazad z EÚ vyvezú výrobky z dovezených obilnín.</w:t>
      </w:r>
      <w:r w:rsidR="00657998">
        <w:rPr>
          <w:rFonts w:ascii="Arial" w:hAnsi="Arial" w:cs="Arial"/>
          <w:sz w:val="24"/>
          <w:szCs w:val="24"/>
        </w:rPr>
        <w:t xml:space="preserve"> Po rokovaní vo WTO sa EÚ od roku 2016 zaviazala neuplatňovať vývozné náhrady na podporu domácich výrobkov (nielen z obilnín) na trhoch tretích krajín.</w:t>
      </w:r>
    </w:p>
    <w:p w:rsidR="00A470F2" w:rsidRDefault="00A470F2" w:rsidP="002D70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470F2"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659880" cy="3096844"/>
            <wp:effectExtent l="0" t="0" r="7620" b="8890"/>
            <wp:docPr id="1" name="Obrázok 1" descr="C:\Users\450\Documents\Moje dokumenty\ZPO\WEB obilninari\zahr obchod obr 7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0\Documents\Moje dokumenty\ZPO\WEB obilninari\zahr obchod obr 7ca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09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F2" w:rsidRDefault="00A470F2" w:rsidP="002D702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Obr. vývoj dovozov a vývozov do/z krajín EÚ od začiatku hospodárskeho roku 2019/20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od 1.7.2019) s obilninami a výrobkami z nich (červená línia), v porovnaní s vývojom v hospodárskom roku 2018/19 (modrá línia) a s 5-ročným priemerom (zelená línia), podľa týždňov (stĺpce), v tis. ton. </w:t>
      </w:r>
      <w:r w:rsidRPr="00E0131A">
        <w:rPr>
          <w:rFonts w:ascii="Arial" w:hAnsi="Arial" w:cs="Arial"/>
          <w:sz w:val="20"/>
          <w:szCs w:val="20"/>
        </w:rPr>
        <w:t xml:space="preserve">Legenda: </w:t>
      </w:r>
      <w:proofErr w:type="spellStart"/>
      <w:r w:rsidRPr="00E0131A">
        <w:rPr>
          <w:rFonts w:ascii="Arial" w:hAnsi="Arial" w:cs="Arial"/>
          <w:sz w:val="20"/>
          <w:szCs w:val="20"/>
        </w:rPr>
        <w:t>Common</w:t>
      </w:r>
      <w:proofErr w:type="spellEnd"/>
      <w:r w:rsidRPr="00E013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31A">
        <w:rPr>
          <w:rFonts w:ascii="Arial" w:hAnsi="Arial" w:cs="Arial"/>
          <w:sz w:val="20"/>
          <w:szCs w:val="20"/>
        </w:rPr>
        <w:t>wheat</w:t>
      </w:r>
      <w:proofErr w:type="spellEnd"/>
      <w:r w:rsidRPr="00E0131A">
        <w:rPr>
          <w:rFonts w:ascii="Arial" w:hAnsi="Arial" w:cs="Arial"/>
          <w:sz w:val="20"/>
          <w:szCs w:val="20"/>
        </w:rPr>
        <w:t xml:space="preserve"> – pšenica obyčajná, </w:t>
      </w:r>
      <w:proofErr w:type="spellStart"/>
      <w:r w:rsidRPr="00E0131A">
        <w:rPr>
          <w:rFonts w:ascii="Arial" w:hAnsi="Arial" w:cs="Arial"/>
          <w:sz w:val="20"/>
          <w:szCs w:val="20"/>
        </w:rPr>
        <w:t>Maize</w:t>
      </w:r>
      <w:proofErr w:type="spellEnd"/>
      <w:r w:rsidRPr="00E0131A">
        <w:rPr>
          <w:rFonts w:ascii="Arial" w:hAnsi="Arial" w:cs="Arial"/>
          <w:sz w:val="20"/>
          <w:szCs w:val="20"/>
        </w:rPr>
        <w:t xml:space="preserve"> – kukurica,</w:t>
      </w:r>
      <w:r w:rsidR="00E0131A" w:rsidRPr="00E013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131A" w:rsidRPr="00E0131A">
        <w:rPr>
          <w:rFonts w:ascii="Arial" w:hAnsi="Arial" w:cs="Arial"/>
          <w:sz w:val="20"/>
          <w:szCs w:val="20"/>
        </w:rPr>
        <w:t>barley</w:t>
      </w:r>
      <w:proofErr w:type="spellEnd"/>
      <w:r w:rsidR="00E0131A" w:rsidRPr="00E013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0131A" w:rsidRPr="00E0131A">
        <w:rPr>
          <w:rFonts w:ascii="Arial" w:hAnsi="Arial" w:cs="Arial"/>
          <w:sz w:val="20"/>
          <w:szCs w:val="20"/>
        </w:rPr>
        <w:t>M</w:t>
      </w:r>
      <w:r w:rsidRPr="00E0131A">
        <w:rPr>
          <w:rFonts w:ascii="Arial" w:hAnsi="Arial" w:cs="Arial"/>
          <w:sz w:val="20"/>
          <w:szCs w:val="20"/>
        </w:rPr>
        <w:t>alt</w:t>
      </w:r>
      <w:proofErr w:type="spellEnd"/>
      <w:r w:rsidRPr="00E013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31A">
        <w:rPr>
          <w:rFonts w:ascii="Arial" w:hAnsi="Arial" w:cs="Arial"/>
          <w:sz w:val="20"/>
          <w:szCs w:val="20"/>
        </w:rPr>
        <w:t>included</w:t>
      </w:r>
      <w:proofErr w:type="spellEnd"/>
      <w:r w:rsidRPr="00E0131A">
        <w:rPr>
          <w:rFonts w:ascii="Arial" w:hAnsi="Arial" w:cs="Arial"/>
          <w:sz w:val="20"/>
          <w:szCs w:val="20"/>
        </w:rPr>
        <w:t xml:space="preserve"> – jačmeň, vrátane sladu, </w:t>
      </w:r>
      <w:proofErr w:type="spellStart"/>
      <w:r w:rsidRPr="00E0131A">
        <w:rPr>
          <w:rFonts w:ascii="Arial" w:hAnsi="Arial" w:cs="Arial"/>
          <w:sz w:val="20"/>
          <w:szCs w:val="20"/>
        </w:rPr>
        <w:t>Common</w:t>
      </w:r>
      <w:proofErr w:type="spellEnd"/>
      <w:r w:rsidRPr="00E013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31A">
        <w:rPr>
          <w:rFonts w:ascii="Arial" w:hAnsi="Arial" w:cs="Arial"/>
          <w:sz w:val="20"/>
          <w:szCs w:val="20"/>
        </w:rPr>
        <w:t>wheat</w:t>
      </w:r>
      <w:proofErr w:type="spellEnd"/>
      <w:r w:rsidRPr="00E0131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E0131A">
        <w:rPr>
          <w:rFonts w:ascii="Arial" w:hAnsi="Arial" w:cs="Arial"/>
          <w:sz w:val="20"/>
          <w:szCs w:val="20"/>
        </w:rPr>
        <w:t>flour</w:t>
      </w:r>
      <w:proofErr w:type="spellEnd"/>
      <w:r w:rsidRPr="00E0131A">
        <w:rPr>
          <w:rFonts w:ascii="Arial" w:hAnsi="Arial" w:cs="Arial"/>
          <w:sz w:val="20"/>
          <w:szCs w:val="20"/>
        </w:rPr>
        <w:t xml:space="preserve"> – pšenica obyčajná a múka; </w:t>
      </w:r>
      <w:proofErr w:type="spellStart"/>
      <w:r w:rsidR="00E0131A" w:rsidRPr="00E0131A">
        <w:rPr>
          <w:rFonts w:ascii="Arial" w:hAnsi="Arial" w:cs="Arial"/>
          <w:sz w:val="20"/>
          <w:szCs w:val="20"/>
        </w:rPr>
        <w:t>Imports</w:t>
      </w:r>
      <w:proofErr w:type="spellEnd"/>
      <w:r w:rsidR="00E0131A" w:rsidRPr="00E0131A">
        <w:rPr>
          <w:rFonts w:ascii="Arial" w:hAnsi="Arial" w:cs="Arial"/>
          <w:sz w:val="20"/>
          <w:szCs w:val="20"/>
        </w:rPr>
        <w:t xml:space="preserve"> – dovozy, </w:t>
      </w:r>
      <w:proofErr w:type="spellStart"/>
      <w:r w:rsidR="00E0131A" w:rsidRPr="00E0131A">
        <w:rPr>
          <w:rFonts w:ascii="Arial" w:hAnsi="Arial" w:cs="Arial"/>
          <w:sz w:val="20"/>
          <w:szCs w:val="20"/>
        </w:rPr>
        <w:t>Exports</w:t>
      </w:r>
      <w:proofErr w:type="spellEnd"/>
      <w:r w:rsidR="00E0131A" w:rsidRPr="00E0131A">
        <w:rPr>
          <w:rFonts w:ascii="Arial" w:hAnsi="Arial" w:cs="Arial"/>
          <w:sz w:val="20"/>
          <w:szCs w:val="20"/>
        </w:rPr>
        <w:t xml:space="preserve"> – vývozy.</w:t>
      </w:r>
      <w:r w:rsidRPr="00E0131A">
        <w:rPr>
          <w:rFonts w:ascii="Arial" w:hAnsi="Arial" w:cs="Arial"/>
          <w:sz w:val="20"/>
          <w:szCs w:val="20"/>
        </w:rPr>
        <w:t xml:space="preserve"> </w:t>
      </w:r>
      <w:r w:rsidR="00E0131A" w:rsidRPr="00E0131A">
        <w:rPr>
          <w:rFonts w:ascii="Arial" w:hAnsi="Arial" w:cs="Arial"/>
          <w:sz w:val="20"/>
          <w:szCs w:val="20"/>
        </w:rPr>
        <w:t>Celkový objem za hospodársky rok je v mil. ton (vpravo modrou a zelenou).</w:t>
      </w:r>
      <w:r w:rsidR="00951790">
        <w:rPr>
          <w:rFonts w:ascii="Arial" w:hAnsi="Arial" w:cs="Arial"/>
          <w:sz w:val="20"/>
          <w:szCs w:val="20"/>
        </w:rPr>
        <w:t xml:space="preserve"> Zdroj: Európska Komisia (circabc.europa.eu).</w:t>
      </w:r>
    </w:p>
    <w:p w:rsidR="002C2082" w:rsidRDefault="002D702A" w:rsidP="00843713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 obdobie rokov 2021-2027 predložila Európska Komisia v júni 2018 </w:t>
      </w:r>
      <w:r w:rsidRPr="002C2082">
        <w:rPr>
          <w:rFonts w:ascii="Arial" w:hAnsi="Arial" w:cs="Arial"/>
          <w:color w:val="002060"/>
          <w:sz w:val="24"/>
          <w:szCs w:val="24"/>
        </w:rPr>
        <w:t>návrh nariadenia, ktorým sa mení nariadenie (EÚ) č.1308/2013</w:t>
      </w:r>
      <w:r>
        <w:rPr>
          <w:rFonts w:ascii="Arial" w:hAnsi="Arial" w:cs="Arial"/>
          <w:sz w:val="24"/>
          <w:szCs w:val="24"/>
        </w:rPr>
        <w:t>, ktorým sa vytvára spoločná organizácia trhov s poľnohospodárskymi výrobkami, a ďalšie.</w:t>
      </w:r>
      <w:r w:rsidR="00EC5AAD">
        <w:rPr>
          <w:rFonts w:ascii="Arial" w:hAnsi="Arial" w:cs="Arial"/>
          <w:sz w:val="24"/>
          <w:szCs w:val="24"/>
        </w:rPr>
        <w:t xml:space="preserve"> </w:t>
      </w:r>
      <w:r w:rsidR="002C2082">
        <w:rPr>
          <w:rFonts w:ascii="Arial" w:hAnsi="Arial" w:cs="Arial"/>
          <w:sz w:val="24"/>
          <w:szCs w:val="24"/>
        </w:rPr>
        <w:t xml:space="preserve">Okrem iného celkom </w:t>
      </w:r>
      <w:r w:rsidR="00F10429" w:rsidRPr="00A03612">
        <w:rPr>
          <w:rFonts w:ascii="Arial" w:hAnsi="Arial" w:cs="Arial"/>
          <w:b/>
          <w:sz w:val="24"/>
          <w:szCs w:val="24"/>
        </w:rPr>
        <w:t>vypúšťa článok 6</w:t>
      </w:r>
      <w:r w:rsidR="00F10429">
        <w:rPr>
          <w:rFonts w:ascii="Arial" w:hAnsi="Arial" w:cs="Arial"/>
          <w:sz w:val="24"/>
          <w:szCs w:val="24"/>
        </w:rPr>
        <w:t>, ktorý definuje hospodárske roky pre všetky dotknuté komodity.</w:t>
      </w:r>
      <w:r w:rsidR="002C2082">
        <w:rPr>
          <w:rFonts w:ascii="Arial" w:hAnsi="Arial" w:cs="Arial"/>
          <w:sz w:val="24"/>
          <w:szCs w:val="24"/>
        </w:rPr>
        <w:t xml:space="preserve"> Znamenalo by to, že aj pre obilniny zanikne </w:t>
      </w:r>
      <w:r w:rsidR="00A62283">
        <w:rPr>
          <w:rFonts w:ascii="Arial" w:hAnsi="Arial" w:cs="Arial"/>
          <w:sz w:val="24"/>
          <w:szCs w:val="24"/>
        </w:rPr>
        <w:t xml:space="preserve">hospodársky rok, a teda aj </w:t>
      </w:r>
      <w:r w:rsidR="002C2082">
        <w:rPr>
          <w:rFonts w:ascii="Arial" w:hAnsi="Arial" w:cs="Arial"/>
          <w:sz w:val="24"/>
          <w:szCs w:val="24"/>
        </w:rPr>
        <w:t xml:space="preserve">povinnosť sledovať štatistické údaje, ceny atď. podľa obdobia začínajúceho 1.júlom. Tento návrh pravdepodobne súvisí so zmenou v štatistickom zisťovaní v rámci EÚ, ktoré sa má v blízkej budúcnosti celé orientovať už iba podľa bežného roka, </w:t>
      </w:r>
      <w:proofErr w:type="spellStart"/>
      <w:r w:rsidR="002C2082">
        <w:rPr>
          <w:rFonts w:ascii="Arial" w:hAnsi="Arial" w:cs="Arial"/>
          <w:sz w:val="24"/>
          <w:szCs w:val="24"/>
        </w:rPr>
        <w:t>t.j</w:t>
      </w:r>
      <w:proofErr w:type="spellEnd"/>
      <w:r w:rsidR="002C2082">
        <w:rPr>
          <w:rFonts w:ascii="Arial" w:hAnsi="Arial" w:cs="Arial"/>
          <w:sz w:val="24"/>
          <w:szCs w:val="24"/>
        </w:rPr>
        <w:t>. od 1.1. do 31.12.</w:t>
      </w:r>
    </w:p>
    <w:p w:rsidR="00D931E9" w:rsidRDefault="00F10429" w:rsidP="00843713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9D7806">
        <w:rPr>
          <w:rFonts w:ascii="Arial" w:hAnsi="Arial" w:cs="Arial"/>
          <w:b/>
          <w:sz w:val="24"/>
          <w:szCs w:val="24"/>
        </w:rPr>
        <w:t>Intervenčné opatrenia</w:t>
      </w:r>
      <w:r>
        <w:rPr>
          <w:rFonts w:ascii="Arial" w:hAnsi="Arial" w:cs="Arial"/>
          <w:sz w:val="24"/>
          <w:szCs w:val="24"/>
        </w:rPr>
        <w:t xml:space="preserve"> pre určité obilniny (pšenica letná, pšenica tvrdá, jačmeň, kukurica) zostávajú </w:t>
      </w:r>
      <w:r w:rsidRPr="009D7806">
        <w:rPr>
          <w:rFonts w:ascii="Arial" w:hAnsi="Arial" w:cs="Arial"/>
          <w:b/>
          <w:sz w:val="24"/>
          <w:szCs w:val="24"/>
        </w:rPr>
        <w:t>v platnosti</w:t>
      </w:r>
      <w:r>
        <w:rPr>
          <w:rFonts w:ascii="Arial" w:hAnsi="Arial" w:cs="Arial"/>
          <w:sz w:val="24"/>
          <w:szCs w:val="24"/>
        </w:rPr>
        <w:t xml:space="preserve"> </w:t>
      </w:r>
      <w:r w:rsidR="00E1194C">
        <w:rPr>
          <w:rFonts w:ascii="Arial" w:hAnsi="Arial" w:cs="Arial"/>
          <w:sz w:val="24"/>
          <w:szCs w:val="24"/>
        </w:rPr>
        <w:t>bez zmenených podmienok.</w:t>
      </w:r>
      <w:r w:rsidR="00D85141">
        <w:rPr>
          <w:rFonts w:ascii="Arial" w:hAnsi="Arial" w:cs="Arial"/>
          <w:sz w:val="24"/>
          <w:szCs w:val="24"/>
        </w:rPr>
        <w:t xml:space="preserve"> Nemení sa ani intervenčná cena.</w:t>
      </w:r>
      <w:r w:rsidR="00E1194C">
        <w:rPr>
          <w:rFonts w:ascii="Arial" w:hAnsi="Arial" w:cs="Arial"/>
          <w:sz w:val="24"/>
          <w:szCs w:val="24"/>
        </w:rPr>
        <w:t xml:space="preserve"> (</w:t>
      </w:r>
      <w:r w:rsidR="00E1194C" w:rsidRPr="00A03612">
        <w:rPr>
          <w:rFonts w:ascii="Arial" w:hAnsi="Arial" w:cs="Arial"/>
          <w:i/>
          <w:sz w:val="24"/>
          <w:szCs w:val="24"/>
        </w:rPr>
        <w:t>Rušia sa doteraz uplatňované podporné programy pre sektor olivového oleja, zeleniny a ovocia, vinohradníctva a vinárstva, včelárstva a chmeľu,</w:t>
      </w:r>
      <w:r w:rsidRPr="00A03612">
        <w:rPr>
          <w:rFonts w:ascii="Arial" w:hAnsi="Arial" w:cs="Arial"/>
          <w:i/>
          <w:sz w:val="24"/>
          <w:szCs w:val="24"/>
        </w:rPr>
        <w:t xml:space="preserve"> </w:t>
      </w:r>
      <w:r w:rsidR="00E1194C" w:rsidRPr="00A03612">
        <w:rPr>
          <w:rFonts w:ascii="Arial" w:hAnsi="Arial" w:cs="Arial"/>
          <w:i/>
          <w:sz w:val="24"/>
          <w:szCs w:val="24"/>
        </w:rPr>
        <w:t xml:space="preserve">uvedené v článkoch </w:t>
      </w:r>
      <w:r w:rsidR="0071096E" w:rsidRPr="00A03612">
        <w:rPr>
          <w:rFonts w:ascii="Arial" w:hAnsi="Arial" w:cs="Arial"/>
          <w:i/>
          <w:sz w:val="24"/>
          <w:szCs w:val="24"/>
        </w:rPr>
        <w:t>29 až 60 pôvodného nariadenia. Taktiež sa rušia všetky nástroje organizácie trhu s cukrom - články 127 až 144.</w:t>
      </w:r>
      <w:r w:rsidR="00A03612" w:rsidRPr="00A03612">
        <w:rPr>
          <w:rFonts w:ascii="Arial" w:hAnsi="Arial" w:cs="Arial"/>
          <w:i/>
          <w:sz w:val="24"/>
          <w:szCs w:val="24"/>
        </w:rPr>
        <w:t xml:space="preserve"> atď</w:t>
      </w:r>
      <w:r w:rsidR="0071096E" w:rsidRPr="00A03612">
        <w:rPr>
          <w:rFonts w:ascii="Arial" w:hAnsi="Arial" w:cs="Arial"/>
          <w:i/>
          <w:sz w:val="24"/>
          <w:szCs w:val="24"/>
        </w:rPr>
        <w:t>.</w:t>
      </w:r>
      <w:r w:rsidR="00D931E9">
        <w:rPr>
          <w:rFonts w:ascii="Arial" w:hAnsi="Arial" w:cs="Arial"/>
          <w:sz w:val="24"/>
          <w:szCs w:val="24"/>
        </w:rPr>
        <w:t>).</w:t>
      </w:r>
    </w:p>
    <w:p w:rsidR="00341049" w:rsidRDefault="0071096E" w:rsidP="00843713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Rovnako zostávajú v platnosti pravidlá pre obchod s tretími krajinami (články </w:t>
      </w:r>
      <w:r w:rsidR="00756117">
        <w:rPr>
          <w:rFonts w:ascii="Arial" w:hAnsi="Arial" w:cs="Arial"/>
          <w:sz w:val="24"/>
          <w:szCs w:val="24"/>
        </w:rPr>
        <w:t>176 až 195, s výnimkou článkov týkajúcich sa dovozu konope a</w:t>
      </w:r>
      <w:r w:rsidR="00A03612">
        <w:rPr>
          <w:rFonts w:ascii="Arial" w:hAnsi="Arial" w:cs="Arial"/>
          <w:sz w:val="24"/>
          <w:szCs w:val="24"/>
        </w:rPr>
        <w:t> </w:t>
      </w:r>
      <w:r w:rsidR="00756117">
        <w:rPr>
          <w:rFonts w:ascii="Arial" w:hAnsi="Arial" w:cs="Arial"/>
          <w:sz w:val="24"/>
          <w:szCs w:val="24"/>
        </w:rPr>
        <w:t xml:space="preserve">cukru). Vypúšťajú sa však články 196 </w:t>
      </w:r>
      <w:r w:rsidR="00704FA6">
        <w:rPr>
          <w:rFonts w:ascii="Arial" w:hAnsi="Arial" w:cs="Arial"/>
          <w:sz w:val="24"/>
          <w:szCs w:val="24"/>
        </w:rPr>
        <w:t>až 204 ohľadom vývozných náhrad (zachováva sa len pasívny zušľachťovací styk).</w:t>
      </w:r>
      <w:r w:rsidR="00A03612">
        <w:rPr>
          <w:rFonts w:ascii="Arial" w:hAnsi="Arial" w:cs="Arial"/>
          <w:sz w:val="24"/>
          <w:szCs w:val="24"/>
        </w:rPr>
        <w:t xml:space="preserve"> Nástroje organizácie </w:t>
      </w:r>
      <w:r w:rsidR="00A03612" w:rsidRPr="009D7806">
        <w:rPr>
          <w:rFonts w:ascii="Arial" w:hAnsi="Arial" w:cs="Arial"/>
          <w:b/>
          <w:sz w:val="24"/>
          <w:szCs w:val="24"/>
        </w:rPr>
        <w:t>trhu pre obchod s tretími krajinami</w:t>
      </w:r>
      <w:r w:rsidR="00A03612">
        <w:rPr>
          <w:rFonts w:ascii="Arial" w:hAnsi="Arial" w:cs="Arial"/>
          <w:sz w:val="24"/>
          <w:szCs w:val="24"/>
        </w:rPr>
        <w:t xml:space="preserve"> (mimo EÚ) teda zostávajú pre obilniny v zásade </w:t>
      </w:r>
      <w:r w:rsidR="00A03612" w:rsidRPr="009D7806">
        <w:rPr>
          <w:rFonts w:ascii="Arial" w:hAnsi="Arial" w:cs="Arial"/>
          <w:b/>
          <w:sz w:val="24"/>
          <w:szCs w:val="24"/>
        </w:rPr>
        <w:t>nezmenené</w:t>
      </w:r>
      <w:r w:rsidR="00A03612">
        <w:rPr>
          <w:rFonts w:ascii="Arial" w:hAnsi="Arial" w:cs="Arial"/>
          <w:sz w:val="24"/>
          <w:szCs w:val="24"/>
        </w:rPr>
        <w:t>.</w:t>
      </w:r>
    </w:p>
    <w:p w:rsidR="005D51FF" w:rsidRDefault="009C7E54" w:rsidP="00843713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sme už viac krát pripomenuli, zatiaľ ide o legislatívne návrhy, o ktorých sa stále rokuje a pravdepodobne ešte budú upravované.</w:t>
      </w:r>
      <w:r w:rsidR="00D931E9">
        <w:rPr>
          <w:rFonts w:ascii="Arial" w:hAnsi="Arial" w:cs="Arial"/>
          <w:sz w:val="24"/>
          <w:szCs w:val="24"/>
        </w:rPr>
        <w:t xml:space="preserve"> Koncom októbra 2019 bolo na Rade ministrov krajín EÚ prijaté rozhodnutie o jednoročnom prechodnom období, no pravdepodobnejšie je, že toto obdobie bude trvať dlhšiu dobu (1-2 roky)</w:t>
      </w:r>
      <w:r>
        <w:rPr>
          <w:rFonts w:ascii="Arial" w:hAnsi="Arial" w:cs="Arial"/>
          <w:sz w:val="24"/>
          <w:szCs w:val="24"/>
        </w:rPr>
        <w:t xml:space="preserve">. </w:t>
      </w:r>
      <w:r w:rsidR="00D85141">
        <w:rPr>
          <w:rFonts w:ascii="Arial" w:hAnsi="Arial" w:cs="Arial"/>
          <w:sz w:val="24"/>
          <w:szCs w:val="24"/>
        </w:rPr>
        <w:t xml:space="preserve">Predmetom diskusií sú viaceré oblasti, ktoré zásadne menia prístup a možnosti podpory poľnohospodárskej výroby, či rozvoja vidieka. Každá členská krajina EÚ má svoje problémy, ktoré chce prioritne riešiť. Na Slovensku je to hlavne aktuálna výrobná štruktúra poľnohospodárstva, </w:t>
      </w:r>
      <w:r w:rsidR="00136E4D">
        <w:rPr>
          <w:rFonts w:ascii="Arial" w:hAnsi="Arial" w:cs="Arial"/>
          <w:sz w:val="24"/>
          <w:szCs w:val="24"/>
        </w:rPr>
        <w:t xml:space="preserve">malá tvorba pridanej hodnoty a nízka potravinová sebestačnosť. Preto odborná verejnosť u nás rieši najmä otázky ohľadom </w:t>
      </w:r>
      <w:proofErr w:type="spellStart"/>
      <w:r w:rsidR="00136E4D">
        <w:rPr>
          <w:rFonts w:ascii="Arial" w:hAnsi="Arial" w:cs="Arial"/>
          <w:sz w:val="24"/>
          <w:szCs w:val="24"/>
        </w:rPr>
        <w:t>stropovania</w:t>
      </w:r>
      <w:proofErr w:type="spellEnd"/>
      <w:r w:rsidR="00136E4D">
        <w:rPr>
          <w:rFonts w:ascii="Arial" w:hAnsi="Arial" w:cs="Arial"/>
          <w:sz w:val="24"/>
          <w:szCs w:val="24"/>
        </w:rPr>
        <w:t xml:space="preserve"> priamych platieb, </w:t>
      </w:r>
      <w:proofErr w:type="spellStart"/>
      <w:r w:rsidR="00136E4D">
        <w:rPr>
          <w:rFonts w:ascii="Arial" w:hAnsi="Arial" w:cs="Arial"/>
          <w:sz w:val="24"/>
          <w:szCs w:val="24"/>
        </w:rPr>
        <w:t>redistribučnej</w:t>
      </w:r>
      <w:proofErr w:type="spellEnd"/>
      <w:r w:rsidR="00136E4D">
        <w:rPr>
          <w:rFonts w:ascii="Arial" w:hAnsi="Arial" w:cs="Arial"/>
          <w:sz w:val="24"/>
          <w:szCs w:val="24"/>
        </w:rPr>
        <w:t xml:space="preserve"> platby, definovania „aktívneho farmára“, či obsahu tzv. „zelenej architektúry“ vhodnej pre Slovensko. </w:t>
      </w:r>
      <w:r w:rsidR="005D3589">
        <w:rPr>
          <w:rFonts w:ascii="Arial" w:hAnsi="Arial" w:cs="Arial"/>
          <w:sz w:val="24"/>
          <w:szCs w:val="24"/>
        </w:rPr>
        <w:t xml:space="preserve">O tom si povieme viac nabudúce... </w:t>
      </w:r>
      <w:r w:rsidR="005D3589" w:rsidRPr="005D3589">
        <w:rPr>
          <w:rFonts w:ascii="Arial" w:hAnsi="Arial" w:cs="Arial"/>
          <w:sz w:val="24"/>
          <w:szCs w:val="24"/>
        </w:rPr>
        <w:sym w:font="Wingdings" w:char="F04A"/>
      </w:r>
    </w:p>
    <w:p w:rsidR="002D5A63" w:rsidRDefault="002D5A63" w:rsidP="00A06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A35" w:rsidRDefault="00B67A35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0E6" w:rsidRDefault="00EA10E6" w:rsidP="00B67A35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B67A35" w:rsidRPr="00E05B88" w:rsidRDefault="009A3BA8" w:rsidP="00B67A35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E05B88">
        <w:rPr>
          <w:rFonts w:ascii="Arial" w:hAnsi="Arial" w:cs="Arial"/>
          <w:i/>
          <w:sz w:val="24"/>
          <w:szCs w:val="24"/>
          <w:u w:val="single"/>
        </w:rPr>
        <w:t>SERIÁL obsahuje</w:t>
      </w:r>
      <w:r w:rsidR="00E05B88" w:rsidRPr="00E05B88">
        <w:rPr>
          <w:rFonts w:ascii="Arial" w:hAnsi="Arial" w:cs="Arial"/>
          <w:i/>
          <w:sz w:val="24"/>
          <w:szCs w:val="24"/>
          <w:u w:val="single"/>
        </w:rPr>
        <w:t xml:space="preserve"> tieto témy, ktoré budeme prinášať v týždňových intervaloch na našej stránke:</w:t>
      </w:r>
      <w:r w:rsidR="00B67A35" w:rsidRPr="00E05B88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45615" w:rsidRPr="00AD266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AD2669">
        <w:rPr>
          <w:rFonts w:ascii="Arial" w:hAnsi="Arial" w:cs="Arial"/>
          <w:b/>
          <w:i/>
          <w:sz w:val="24"/>
          <w:szCs w:val="24"/>
        </w:rPr>
        <w:t>Čo to je SPP EÚ a prečo sa mení?</w:t>
      </w:r>
    </w:p>
    <w:p w:rsidR="00F45615" w:rsidRPr="000F672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0F6729">
        <w:rPr>
          <w:rFonts w:ascii="Arial" w:hAnsi="Arial" w:cs="Arial"/>
          <w:b/>
          <w:i/>
          <w:sz w:val="24"/>
          <w:szCs w:val="24"/>
        </w:rPr>
        <w:t>9 hlavných cieľov SPP po 2021</w:t>
      </w:r>
    </w:p>
    <w:p w:rsidR="00F45615" w:rsidRPr="003C501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3C501D">
        <w:rPr>
          <w:rFonts w:ascii="Arial" w:hAnsi="Arial" w:cs="Arial"/>
          <w:b/>
          <w:i/>
          <w:sz w:val="24"/>
          <w:szCs w:val="24"/>
        </w:rPr>
        <w:t>Zelená architektúra budúcej SPP</w:t>
      </w:r>
    </w:p>
    <w:p w:rsidR="00F45615" w:rsidRPr="00ED3F30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ED3F30">
        <w:rPr>
          <w:rFonts w:ascii="Arial" w:hAnsi="Arial" w:cs="Arial"/>
          <w:b/>
          <w:i/>
          <w:sz w:val="24"/>
          <w:szCs w:val="24"/>
        </w:rPr>
        <w:t>Finančný rámec pre EÚ a SR</w:t>
      </w:r>
    </w:p>
    <w:p w:rsidR="00F45615" w:rsidRPr="00A06F3A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A06F3A">
        <w:rPr>
          <w:rFonts w:ascii="Arial" w:hAnsi="Arial" w:cs="Arial"/>
          <w:b/>
          <w:i/>
          <w:sz w:val="24"/>
          <w:szCs w:val="24"/>
        </w:rPr>
        <w:t>Hlavné priame podpory I. piliera</w:t>
      </w:r>
    </w:p>
    <w:p w:rsidR="00F45615" w:rsidRPr="007F0BC6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7F0BC6">
        <w:rPr>
          <w:rFonts w:ascii="Arial" w:hAnsi="Arial" w:cs="Arial"/>
          <w:b/>
          <w:i/>
          <w:sz w:val="24"/>
          <w:szCs w:val="24"/>
        </w:rPr>
        <w:t>Opatrenia II. piliera na rozvoj vidieka</w:t>
      </w:r>
    </w:p>
    <w:p w:rsidR="00F45615" w:rsidRPr="009045D6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9045D6">
        <w:rPr>
          <w:rFonts w:ascii="Arial" w:hAnsi="Arial" w:cs="Arial"/>
          <w:b/>
          <w:i/>
          <w:sz w:val="24"/>
          <w:szCs w:val="24"/>
        </w:rPr>
        <w:t>Spoločná organizácia trhu s obilninami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Otvorené otázky (</w:t>
      </w:r>
      <w:proofErr w:type="spellStart"/>
      <w:r w:rsidRPr="00F45615">
        <w:rPr>
          <w:rFonts w:ascii="Arial" w:hAnsi="Arial" w:cs="Arial"/>
          <w:i/>
          <w:sz w:val="24"/>
          <w:szCs w:val="24"/>
        </w:rPr>
        <w:t>stropovanie</w:t>
      </w:r>
      <w:proofErr w:type="spellEnd"/>
      <w:r w:rsidRPr="00F4561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45615">
        <w:rPr>
          <w:rFonts w:ascii="Arial" w:hAnsi="Arial" w:cs="Arial"/>
          <w:i/>
          <w:sz w:val="24"/>
          <w:szCs w:val="24"/>
        </w:rPr>
        <w:t>redistribúcia</w:t>
      </w:r>
      <w:proofErr w:type="spellEnd"/>
      <w:r w:rsidRPr="00F45615">
        <w:rPr>
          <w:rFonts w:ascii="Arial" w:hAnsi="Arial" w:cs="Arial"/>
          <w:i/>
          <w:sz w:val="24"/>
          <w:szCs w:val="24"/>
        </w:rPr>
        <w:t>, definícia aktívneho farmára, atď.)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Časový rámec a očakávané kroky</w:t>
      </w:r>
    </w:p>
    <w:p w:rsidR="00CC4BB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Prechodné obdobie a najbližšie roky</w:t>
      </w:r>
    </w:p>
    <w:p w:rsidR="00370DFB" w:rsidRPr="00370DFB" w:rsidRDefault="00370DFB" w:rsidP="00370D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70DFB">
        <w:rPr>
          <w:rFonts w:ascii="Arial" w:hAnsi="Arial" w:cs="Arial"/>
          <w:i/>
          <w:sz w:val="24"/>
          <w:szCs w:val="24"/>
        </w:rPr>
        <w:t xml:space="preserve">Spracovala: Ing. Vladimíra Debnárová, výkonná tajomníčka Združenia </w:t>
      </w:r>
      <w:r w:rsidR="009045D6">
        <w:rPr>
          <w:rFonts w:ascii="Arial" w:hAnsi="Arial" w:cs="Arial"/>
          <w:i/>
          <w:sz w:val="24"/>
          <w:szCs w:val="24"/>
        </w:rPr>
        <w:t>pestovateľov obilnín, 10</w:t>
      </w:r>
      <w:r w:rsidR="007F0BC6">
        <w:rPr>
          <w:rFonts w:ascii="Arial" w:hAnsi="Arial" w:cs="Arial"/>
          <w:i/>
          <w:sz w:val="24"/>
          <w:szCs w:val="24"/>
        </w:rPr>
        <w:t>.12</w:t>
      </w:r>
      <w:r>
        <w:rPr>
          <w:rFonts w:ascii="Arial" w:hAnsi="Arial" w:cs="Arial"/>
          <w:i/>
          <w:sz w:val="24"/>
          <w:szCs w:val="24"/>
        </w:rPr>
        <w:t>.</w:t>
      </w:r>
      <w:r w:rsidRPr="00370DFB">
        <w:rPr>
          <w:rFonts w:ascii="Arial" w:hAnsi="Arial" w:cs="Arial"/>
          <w:i/>
          <w:sz w:val="24"/>
          <w:szCs w:val="24"/>
        </w:rPr>
        <w:t xml:space="preserve"> 2019.</w:t>
      </w:r>
    </w:p>
    <w:p w:rsidR="00370DFB" w:rsidRDefault="00370DFB" w:rsidP="00370DFB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</w:p>
    <w:p w:rsidR="00370DFB" w:rsidRPr="00370DFB" w:rsidRDefault="00ED3F30" w:rsidP="00370DFB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Ak sa Vám páči naša práca a chcete </w:t>
      </w:r>
      <w:r w:rsidR="0061205A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nás podporiť, staňte sa</w:t>
      </w: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 členom</w:t>
      </w:r>
      <w:r w:rsidR="0061205A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 Združenia pestovateľov obilnín -</w:t>
      </w: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 pošlite nám čo najskôr svoju </w:t>
      </w:r>
      <w:r w:rsidRPr="0075567C">
        <w:rPr>
          <w:rFonts w:ascii="Arial" w:hAnsi="Arial" w:cs="Arial"/>
          <w:b/>
          <w:i/>
          <w:color w:val="002060"/>
          <w:sz w:val="24"/>
          <w:szCs w:val="24"/>
        </w:rPr>
        <w:t>prihlášku za člena</w:t>
      </w:r>
      <w:r w:rsidR="0075567C">
        <w:rPr>
          <w:rFonts w:ascii="Arial" w:hAnsi="Arial" w:cs="Arial"/>
          <w:b/>
          <w:i/>
          <w:color w:val="002060"/>
          <w:sz w:val="24"/>
          <w:szCs w:val="24"/>
        </w:rPr>
        <w:t xml:space="preserve"> ZPO</w:t>
      </w: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.</w:t>
      </w:r>
      <w:r w:rsidR="0075567C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 Vopred ď</w:t>
      </w:r>
      <w:r w:rsidR="00370DFB" w:rsidRPr="00370DFB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akujeme!</w:t>
      </w:r>
    </w:p>
    <w:p w:rsidR="00370DFB" w:rsidRPr="00370DFB" w:rsidRDefault="00370DFB" w:rsidP="00370DFB">
      <w:pPr>
        <w:spacing w:line="256" w:lineRule="auto"/>
        <w:ind w:left="360"/>
        <w:rPr>
          <w:rFonts w:ascii="Arial" w:hAnsi="Arial" w:cs="Arial"/>
          <w:i/>
          <w:sz w:val="24"/>
          <w:szCs w:val="24"/>
        </w:rPr>
      </w:pPr>
    </w:p>
    <w:sectPr w:rsidR="00370DFB" w:rsidRPr="00370DFB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5EA5"/>
    <w:multiLevelType w:val="hybridMultilevel"/>
    <w:tmpl w:val="39C6E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1045"/>
    <w:multiLevelType w:val="hybridMultilevel"/>
    <w:tmpl w:val="5B0E8356"/>
    <w:lvl w:ilvl="0" w:tplc="595A44F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242"/>
    <w:multiLevelType w:val="hybridMultilevel"/>
    <w:tmpl w:val="B65675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7858"/>
    <w:multiLevelType w:val="hybridMultilevel"/>
    <w:tmpl w:val="1E8A19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7C04"/>
    <w:multiLevelType w:val="multilevel"/>
    <w:tmpl w:val="DF5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16086"/>
    <w:multiLevelType w:val="hybridMultilevel"/>
    <w:tmpl w:val="6FF8FB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7720"/>
    <w:multiLevelType w:val="hybridMultilevel"/>
    <w:tmpl w:val="F2B47378"/>
    <w:lvl w:ilvl="0" w:tplc="F48C21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95E25"/>
    <w:multiLevelType w:val="hybridMultilevel"/>
    <w:tmpl w:val="0972A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441A"/>
    <w:multiLevelType w:val="hybridMultilevel"/>
    <w:tmpl w:val="C784B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82163"/>
    <w:multiLevelType w:val="hybridMultilevel"/>
    <w:tmpl w:val="56E2A860"/>
    <w:lvl w:ilvl="0" w:tplc="FBF80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D0583"/>
    <w:multiLevelType w:val="hybridMultilevel"/>
    <w:tmpl w:val="A6EC1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200A2"/>
    <w:multiLevelType w:val="hybridMultilevel"/>
    <w:tmpl w:val="2D44092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1F0A"/>
    <w:multiLevelType w:val="hybridMultilevel"/>
    <w:tmpl w:val="F1E8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315A1"/>
    <w:multiLevelType w:val="hybridMultilevel"/>
    <w:tmpl w:val="36826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62432"/>
    <w:multiLevelType w:val="hybridMultilevel"/>
    <w:tmpl w:val="D918EF5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75B37"/>
    <w:multiLevelType w:val="hybridMultilevel"/>
    <w:tmpl w:val="255C84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BDB"/>
    <w:multiLevelType w:val="hybridMultilevel"/>
    <w:tmpl w:val="D30AC95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665F3"/>
    <w:multiLevelType w:val="hybridMultilevel"/>
    <w:tmpl w:val="47C48F0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365C1"/>
    <w:multiLevelType w:val="hybridMultilevel"/>
    <w:tmpl w:val="88CA4B0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649C0"/>
    <w:multiLevelType w:val="hybridMultilevel"/>
    <w:tmpl w:val="3322F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C6BDE"/>
    <w:multiLevelType w:val="hybridMultilevel"/>
    <w:tmpl w:val="D7E61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10C13"/>
    <w:multiLevelType w:val="hybridMultilevel"/>
    <w:tmpl w:val="E964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3246A"/>
    <w:multiLevelType w:val="hybridMultilevel"/>
    <w:tmpl w:val="4AA2B6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32E13"/>
    <w:multiLevelType w:val="multilevel"/>
    <w:tmpl w:val="8B4A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19"/>
  </w:num>
  <w:num w:numId="7">
    <w:abstractNumId w:val="21"/>
  </w:num>
  <w:num w:numId="8">
    <w:abstractNumId w:val="5"/>
  </w:num>
  <w:num w:numId="9">
    <w:abstractNumId w:val="2"/>
  </w:num>
  <w:num w:numId="10">
    <w:abstractNumId w:val="3"/>
  </w:num>
  <w:num w:numId="11">
    <w:abstractNumId w:val="22"/>
  </w:num>
  <w:num w:numId="12">
    <w:abstractNumId w:val="11"/>
  </w:num>
  <w:num w:numId="13">
    <w:abstractNumId w:val="20"/>
  </w:num>
  <w:num w:numId="14">
    <w:abstractNumId w:val="14"/>
  </w:num>
  <w:num w:numId="15">
    <w:abstractNumId w:val="1"/>
  </w:num>
  <w:num w:numId="16">
    <w:abstractNumId w:val="23"/>
  </w:num>
  <w:num w:numId="17">
    <w:abstractNumId w:val="4"/>
  </w:num>
  <w:num w:numId="18">
    <w:abstractNumId w:val="9"/>
  </w:num>
  <w:num w:numId="19">
    <w:abstractNumId w:val="18"/>
  </w:num>
  <w:num w:numId="20">
    <w:abstractNumId w:val="6"/>
  </w:num>
  <w:num w:numId="21">
    <w:abstractNumId w:val="12"/>
  </w:num>
  <w:num w:numId="22">
    <w:abstractNumId w:val="15"/>
  </w:num>
  <w:num w:numId="23">
    <w:abstractNumId w:val="8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D"/>
    <w:rsid w:val="00006A48"/>
    <w:rsid w:val="00011C30"/>
    <w:rsid w:val="0001600C"/>
    <w:rsid w:val="0002252A"/>
    <w:rsid w:val="00033B0F"/>
    <w:rsid w:val="0003585C"/>
    <w:rsid w:val="00055928"/>
    <w:rsid w:val="00074CE4"/>
    <w:rsid w:val="00094A98"/>
    <w:rsid w:val="000B1805"/>
    <w:rsid w:val="000C09F5"/>
    <w:rsid w:val="000D5166"/>
    <w:rsid w:val="000D792A"/>
    <w:rsid w:val="000E1E4F"/>
    <w:rsid w:val="000E3193"/>
    <w:rsid w:val="000F0161"/>
    <w:rsid w:val="000F47FC"/>
    <w:rsid w:val="000F6729"/>
    <w:rsid w:val="00101ED8"/>
    <w:rsid w:val="0010493C"/>
    <w:rsid w:val="00112687"/>
    <w:rsid w:val="00120876"/>
    <w:rsid w:val="00125822"/>
    <w:rsid w:val="001343C0"/>
    <w:rsid w:val="00136E4D"/>
    <w:rsid w:val="00164834"/>
    <w:rsid w:val="0018311E"/>
    <w:rsid w:val="00192B3C"/>
    <w:rsid w:val="0019318E"/>
    <w:rsid w:val="001A23D9"/>
    <w:rsid w:val="001B44BB"/>
    <w:rsid w:val="001C5B04"/>
    <w:rsid w:val="001E5CFD"/>
    <w:rsid w:val="001F028C"/>
    <w:rsid w:val="001F0CF8"/>
    <w:rsid w:val="001F2380"/>
    <w:rsid w:val="001F39DE"/>
    <w:rsid w:val="00205EF8"/>
    <w:rsid w:val="00211571"/>
    <w:rsid w:val="00221A60"/>
    <w:rsid w:val="00231A96"/>
    <w:rsid w:val="00242CAE"/>
    <w:rsid w:val="0024643C"/>
    <w:rsid w:val="00263D8F"/>
    <w:rsid w:val="00291A18"/>
    <w:rsid w:val="002A3C5D"/>
    <w:rsid w:val="002A518F"/>
    <w:rsid w:val="002B62F0"/>
    <w:rsid w:val="002C07D8"/>
    <w:rsid w:val="002C2082"/>
    <w:rsid w:val="002C31F2"/>
    <w:rsid w:val="002C55DC"/>
    <w:rsid w:val="002C5739"/>
    <w:rsid w:val="002D5A63"/>
    <w:rsid w:val="002D702A"/>
    <w:rsid w:val="002D7569"/>
    <w:rsid w:val="002E4D9C"/>
    <w:rsid w:val="002F152F"/>
    <w:rsid w:val="002F305A"/>
    <w:rsid w:val="002F43CB"/>
    <w:rsid w:val="002F5655"/>
    <w:rsid w:val="00315D00"/>
    <w:rsid w:val="00327BE5"/>
    <w:rsid w:val="00331676"/>
    <w:rsid w:val="003358DF"/>
    <w:rsid w:val="00341049"/>
    <w:rsid w:val="00344B7C"/>
    <w:rsid w:val="0034552F"/>
    <w:rsid w:val="00356EDF"/>
    <w:rsid w:val="00360AE3"/>
    <w:rsid w:val="00366B12"/>
    <w:rsid w:val="00370DFB"/>
    <w:rsid w:val="00384FC9"/>
    <w:rsid w:val="003853AE"/>
    <w:rsid w:val="003C501D"/>
    <w:rsid w:val="003C64F2"/>
    <w:rsid w:val="003D30AB"/>
    <w:rsid w:val="003E4D62"/>
    <w:rsid w:val="003F17CB"/>
    <w:rsid w:val="00410171"/>
    <w:rsid w:val="004137C3"/>
    <w:rsid w:val="0042586A"/>
    <w:rsid w:val="00431756"/>
    <w:rsid w:val="00441FE0"/>
    <w:rsid w:val="0045487E"/>
    <w:rsid w:val="00475C0E"/>
    <w:rsid w:val="00476D49"/>
    <w:rsid w:val="004A5E6A"/>
    <w:rsid w:val="004C0166"/>
    <w:rsid w:val="004C6E85"/>
    <w:rsid w:val="004D2D44"/>
    <w:rsid w:val="004D32E8"/>
    <w:rsid w:val="004D7999"/>
    <w:rsid w:val="004E630C"/>
    <w:rsid w:val="004E65BD"/>
    <w:rsid w:val="005038E9"/>
    <w:rsid w:val="00525014"/>
    <w:rsid w:val="005262A7"/>
    <w:rsid w:val="00531AC5"/>
    <w:rsid w:val="00552C93"/>
    <w:rsid w:val="005546E5"/>
    <w:rsid w:val="00565262"/>
    <w:rsid w:val="005730DC"/>
    <w:rsid w:val="005825E5"/>
    <w:rsid w:val="0058552D"/>
    <w:rsid w:val="0059567F"/>
    <w:rsid w:val="00595BEF"/>
    <w:rsid w:val="005A4220"/>
    <w:rsid w:val="005B1747"/>
    <w:rsid w:val="005B5FD9"/>
    <w:rsid w:val="005D3589"/>
    <w:rsid w:val="005D3EB0"/>
    <w:rsid w:val="005D4615"/>
    <w:rsid w:val="005D51FF"/>
    <w:rsid w:val="005E74C9"/>
    <w:rsid w:val="0061205A"/>
    <w:rsid w:val="00612065"/>
    <w:rsid w:val="00657998"/>
    <w:rsid w:val="00660272"/>
    <w:rsid w:val="0068701A"/>
    <w:rsid w:val="00694213"/>
    <w:rsid w:val="0069517D"/>
    <w:rsid w:val="00696A06"/>
    <w:rsid w:val="006A09A4"/>
    <w:rsid w:val="006A2CDD"/>
    <w:rsid w:val="006B4B90"/>
    <w:rsid w:val="006B598A"/>
    <w:rsid w:val="006D5B24"/>
    <w:rsid w:val="006F3BFA"/>
    <w:rsid w:val="006F7A59"/>
    <w:rsid w:val="00702CFB"/>
    <w:rsid w:val="00704FA6"/>
    <w:rsid w:val="007058C5"/>
    <w:rsid w:val="0071096E"/>
    <w:rsid w:val="00725690"/>
    <w:rsid w:val="00732AA0"/>
    <w:rsid w:val="00740D66"/>
    <w:rsid w:val="007517E1"/>
    <w:rsid w:val="0075567C"/>
    <w:rsid w:val="00755E99"/>
    <w:rsid w:val="00756117"/>
    <w:rsid w:val="00761EFD"/>
    <w:rsid w:val="00783DAA"/>
    <w:rsid w:val="0078566F"/>
    <w:rsid w:val="007A4076"/>
    <w:rsid w:val="007D40B2"/>
    <w:rsid w:val="007E3598"/>
    <w:rsid w:val="007F0BC6"/>
    <w:rsid w:val="007F1F59"/>
    <w:rsid w:val="007F5323"/>
    <w:rsid w:val="00812CF5"/>
    <w:rsid w:val="00843713"/>
    <w:rsid w:val="00872819"/>
    <w:rsid w:val="008769F5"/>
    <w:rsid w:val="0089319B"/>
    <w:rsid w:val="008A0769"/>
    <w:rsid w:val="008A1A06"/>
    <w:rsid w:val="008A70A0"/>
    <w:rsid w:val="008C3338"/>
    <w:rsid w:val="008C4F91"/>
    <w:rsid w:val="008C54EF"/>
    <w:rsid w:val="008D132F"/>
    <w:rsid w:val="00900131"/>
    <w:rsid w:val="0090049D"/>
    <w:rsid w:val="009011C4"/>
    <w:rsid w:val="009045D6"/>
    <w:rsid w:val="0091648C"/>
    <w:rsid w:val="0092397C"/>
    <w:rsid w:val="00931538"/>
    <w:rsid w:val="00937C97"/>
    <w:rsid w:val="00951790"/>
    <w:rsid w:val="00956D47"/>
    <w:rsid w:val="0096138F"/>
    <w:rsid w:val="00966242"/>
    <w:rsid w:val="00972CC6"/>
    <w:rsid w:val="009739CC"/>
    <w:rsid w:val="009774EF"/>
    <w:rsid w:val="00986874"/>
    <w:rsid w:val="00990C3A"/>
    <w:rsid w:val="00997A14"/>
    <w:rsid w:val="009A3BA8"/>
    <w:rsid w:val="009C7E54"/>
    <w:rsid w:val="009D7806"/>
    <w:rsid w:val="009E4922"/>
    <w:rsid w:val="009F0543"/>
    <w:rsid w:val="009F588E"/>
    <w:rsid w:val="00A03612"/>
    <w:rsid w:val="00A04604"/>
    <w:rsid w:val="00A06F3A"/>
    <w:rsid w:val="00A20926"/>
    <w:rsid w:val="00A20CEF"/>
    <w:rsid w:val="00A2473D"/>
    <w:rsid w:val="00A36C42"/>
    <w:rsid w:val="00A470F2"/>
    <w:rsid w:val="00A5015C"/>
    <w:rsid w:val="00A62283"/>
    <w:rsid w:val="00A766A0"/>
    <w:rsid w:val="00A82B3D"/>
    <w:rsid w:val="00A82EA1"/>
    <w:rsid w:val="00A84900"/>
    <w:rsid w:val="00AB1E49"/>
    <w:rsid w:val="00AD2669"/>
    <w:rsid w:val="00AD5DD8"/>
    <w:rsid w:val="00AE79D7"/>
    <w:rsid w:val="00B11476"/>
    <w:rsid w:val="00B23E06"/>
    <w:rsid w:val="00B30BAC"/>
    <w:rsid w:val="00B30BD5"/>
    <w:rsid w:val="00B3388D"/>
    <w:rsid w:val="00B34F11"/>
    <w:rsid w:val="00B44B79"/>
    <w:rsid w:val="00B45529"/>
    <w:rsid w:val="00B46662"/>
    <w:rsid w:val="00B56511"/>
    <w:rsid w:val="00B67A35"/>
    <w:rsid w:val="00B9725F"/>
    <w:rsid w:val="00BA0AA0"/>
    <w:rsid w:val="00BD1FAA"/>
    <w:rsid w:val="00C13845"/>
    <w:rsid w:val="00C16503"/>
    <w:rsid w:val="00C3706E"/>
    <w:rsid w:val="00C37A0A"/>
    <w:rsid w:val="00C563D5"/>
    <w:rsid w:val="00C6161B"/>
    <w:rsid w:val="00C6665E"/>
    <w:rsid w:val="00C8074E"/>
    <w:rsid w:val="00C84A14"/>
    <w:rsid w:val="00C84DC9"/>
    <w:rsid w:val="00CB427B"/>
    <w:rsid w:val="00CB6A2D"/>
    <w:rsid w:val="00CB6F8E"/>
    <w:rsid w:val="00CC4BBD"/>
    <w:rsid w:val="00CC4BD4"/>
    <w:rsid w:val="00CF0AF8"/>
    <w:rsid w:val="00CF2076"/>
    <w:rsid w:val="00CF7DFE"/>
    <w:rsid w:val="00D00DA0"/>
    <w:rsid w:val="00D12AE3"/>
    <w:rsid w:val="00D2456E"/>
    <w:rsid w:val="00D2703E"/>
    <w:rsid w:val="00D31537"/>
    <w:rsid w:val="00D85141"/>
    <w:rsid w:val="00D90158"/>
    <w:rsid w:val="00D931E9"/>
    <w:rsid w:val="00DA2CA3"/>
    <w:rsid w:val="00DC4BA5"/>
    <w:rsid w:val="00DE102C"/>
    <w:rsid w:val="00DE621F"/>
    <w:rsid w:val="00DF2AE0"/>
    <w:rsid w:val="00E00D1B"/>
    <w:rsid w:val="00E0131A"/>
    <w:rsid w:val="00E01F29"/>
    <w:rsid w:val="00E0437D"/>
    <w:rsid w:val="00E05B88"/>
    <w:rsid w:val="00E1194C"/>
    <w:rsid w:val="00E11D14"/>
    <w:rsid w:val="00E14BC9"/>
    <w:rsid w:val="00E46B38"/>
    <w:rsid w:val="00E52D60"/>
    <w:rsid w:val="00E65787"/>
    <w:rsid w:val="00E8188F"/>
    <w:rsid w:val="00E83F7D"/>
    <w:rsid w:val="00E94752"/>
    <w:rsid w:val="00EA10E6"/>
    <w:rsid w:val="00EA4CAA"/>
    <w:rsid w:val="00EB2690"/>
    <w:rsid w:val="00EB3245"/>
    <w:rsid w:val="00EB71A3"/>
    <w:rsid w:val="00EC5AAD"/>
    <w:rsid w:val="00EC69C1"/>
    <w:rsid w:val="00ED3F30"/>
    <w:rsid w:val="00EF3FD9"/>
    <w:rsid w:val="00F0352B"/>
    <w:rsid w:val="00F03CE2"/>
    <w:rsid w:val="00F10429"/>
    <w:rsid w:val="00F263DE"/>
    <w:rsid w:val="00F30372"/>
    <w:rsid w:val="00F3189A"/>
    <w:rsid w:val="00F36C83"/>
    <w:rsid w:val="00F36DE8"/>
    <w:rsid w:val="00F37D81"/>
    <w:rsid w:val="00F45615"/>
    <w:rsid w:val="00F54CDC"/>
    <w:rsid w:val="00F67237"/>
    <w:rsid w:val="00F76A30"/>
    <w:rsid w:val="00F77A11"/>
    <w:rsid w:val="00F8359D"/>
    <w:rsid w:val="00FA49F7"/>
    <w:rsid w:val="00FA4BC6"/>
    <w:rsid w:val="00FC1E29"/>
    <w:rsid w:val="00FC7D24"/>
    <w:rsid w:val="00FD07DB"/>
    <w:rsid w:val="00FD299F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BD40-FF55-48B1-80AC-1BA39FB8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76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BB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76A3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7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5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6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9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31</cp:revision>
  <dcterms:created xsi:type="dcterms:W3CDTF">2019-12-10T11:28:00Z</dcterms:created>
  <dcterms:modified xsi:type="dcterms:W3CDTF">2019-12-10T16:46:00Z</dcterms:modified>
</cp:coreProperties>
</file>