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BD" w:rsidRPr="00B67A35" w:rsidRDefault="00CC4BBD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CC6" w:rsidRPr="00972CC6" w:rsidRDefault="00B67A35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Informačný s</w:t>
      </w:r>
      <w:r w:rsidR="00CC4BBD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eriál </w:t>
      </w:r>
      <w:r w:rsidR="00972CC6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Združenia pestovateľov obilnín</w:t>
      </w:r>
    </w:p>
    <w:p w:rsidR="004C0166" w:rsidRPr="00972CC6" w:rsidRDefault="00CC4BBD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o budúcej Spoločnej poľnohospodárskej politike EÚ na roky 2021-2027</w:t>
      </w:r>
    </w:p>
    <w:p w:rsidR="00B67A35" w:rsidRPr="009A3BA8" w:rsidRDefault="00B67A35" w:rsidP="00B67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2CC6" w:rsidRPr="00A20CEF" w:rsidRDefault="00972CC6" w:rsidP="00A20CEF">
      <w:pPr>
        <w:pStyle w:val="Odsekzoznamu"/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0CEF">
        <w:rPr>
          <w:rFonts w:ascii="Arial" w:hAnsi="Arial" w:cs="Arial"/>
          <w:b/>
          <w:sz w:val="28"/>
          <w:szCs w:val="28"/>
        </w:rPr>
        <w:t>ČASŤ:</w:t>
      </w:r>
    </w:p>
    <w:p w:rsidR="001A23D9" w:rsidRPr="003C501D" w:rsidRDefault="007F0BC6" w:rsidP="003C501D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Opatrenia</w:t>
      </w:r>
      <w:r w:rsidR="00A06F3A">
        <w:rPr>
          <w:rFonts w:ascii="Arial" w:hAnsi="Arial" w:cs="Arial"/>
          <w:b/>
          <w:sz w:val="28"/>
          <w:szCs w:val="28"/>
        </w:rPr>
        <w:t xml:space="preserve"> I</w:t>
      </w:r>
      <w:r>
        <w:rPr>
          <w:rFonts w:ascii="Arial" w:hAnsi="Arial" w:cs="Arial"/>
          <w:b/>
          <w:sz w:val="28"/>
          <w:szCs w:val="28"/>
        </w:rPr>
        <w:t>I</w:t>
      </w:r>
      <w:r w:rsidR="00A06F3A">
        <w:rPr>
          <w:rFonts w:ascii="Arial" w:hAnsi="Arial" w:cs="Arial"/>
          <w:b/>
          <w:sz w:val="28"/>
          <w:szCs w:val="28"/>
        </w:rPr>
        <w:t>. piliera</w:t>
      </w:r>
      <w:r w:rsidR="004137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na rozvoj vidieka </w:t>
      </w:r>
      <w:r w:rsidR="004137C3">
        <w:rPr>
          <w:rFonts w:ascii="Arial" w:hAnsi="Arial" w:cs="Arial"/>
          <w:b/>
          <w:sz w:val="28"/>
          <w:szCs w:val="28"/>
        </w:rPr>
        <w:t>v rokoch 2021-2027</w:t>
      </w:r>
    </w:p>
    <w:p w:rsidR="00370DFB" w:rsidRDefault="00370DFB" w:rsidP="00370DFB">
      <w:pPr>
        <w:jc w:val="both"/>
        <w:rPr>
          <w:rFonts w:ascii="Arial" w:hAnsi="Arial" w:cs="Arial"/>
          <w:sz w:val="24"/>
          <w:szCs w:val="24"/>
        </w:rPr>
      </w:pPr>
    </w:p>
    <w:p w:rsidR="0010493C" w:rsidRPr="0010493C" w:rsidRDefault="0010493C" w:rsidP="00A06F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0493C">
        <w:rPr>
          <w:rFonts w:ascii="Arial" w:hAnsi="Arial" w:cs="Arial"/>
          <w:i/>
          <w:sz w:val="24"/>
          <w:szCs w:val="24"/>
          <w:u w:val="single"/>
        </w:rPr>
        <w:t>Poznámka na úvod:</w:t>
      </w:r>
    </w:p>
    <w:p w:rsidR="00D00DA0" w:rsidRPr="0010493C" w:rsidRDefault="00D00DA0" w:rsidP="00A06F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0493C">
        <w:rPr>
          <w:rFonts w:ascii="Arial" w:hAnsi="Arial" w:cs="Arial"/>
          <w:i/>
          <w:sz w:val="24"/>
          <w:szCs w:val="24"/>
        </w:rPr>
        <w:t xml:space="preserve">Keďže k dnešnému dňu nie je verejne známy návrh Národného strategického plánu SR pre roky 2021-2027, je potrebné poznamenať, že obsah tejto časti bude </w:t>
      </w:r>
      <w:r w:rsidR="0010493C">
        <w:rPr>
          <w:rFonts w:ascii="Arial" w:hAnsi="Arial" w:cs="Arial"/>
          <w:i/>
          <w:sz w:val="24"/>
          <w:szCs w:val="24"/>
        </w:rPr>
        <w:t xml:space="preserve">čisto </w:t>
      </w:r>
      <w:r w:rsidRPr="0010493C">
        <w:rPr>
          <w:rFonts w:ascii="Arial" w:hAnsi="Arial" w:cs="Arial"/>
          <w:i/>
          <w:sz w:val="24"/>
          <w:szCs w:val="24"/>
        </w:rPr>
        <w:t>hypotetický a orientačný. Konkrétne formy podpory v I. a II. pilieri, nástroje organizácie trhu s určitými komoditami, ako aj objem</w:t>
      </w:r>
      <w:r w:rsidR="00C3706E" w:rsidRPr="0010493C">
        <w:rPr>
          <w:rFonts w:ascii="Arial" w:hAnsi="Arial" w:cs="Arial"/>
          <w:i/>
          <w:sz w:val="24"/>
          <w:szCs w:val="24"/>
        </w:rPr>
        <w:t xml:space="preserve"> (resp. percento </w:t>
      </w:r>
      <w:r w:rsidR="0010493C">
        <w:rPr>
          <w:rFonts w:ascii="Arial" w:hAnsi="Arial" w:cs="Arial"/>
          <w:i/>
          <w:sz w:val="24"/>
          <w:szCs w:val="24"/>
        </w:rPr>
        <w:t xml:space="preserve">z </w:t>
      </w:r>
      <w:r w:rsidR="00C3706E" w:rsidRPr="0010493C">
        <w:rPr>
          <w:rFonts w:ascii="Arial" w:hAnsi="Arial" w:cs="Arial"/>
          <w:i/>
          <w:sz w:val="24"/>
          <w:szCs w:val="24"/>
        </w:rPr>
        <w:t>balíka)</w:t>
      </w:r>
      <w:r w:rsidRPr="0010493C">
        <w:rPr>
          <w:rFonts w:ascii="Arial" w:hAnsi="Arial" w:cs="Arial"/>
          <w:i/>
          <w:sz w:val="24"/>
          <w:szCs w:val="24"/>
        </w:rPr>
        <w:t xml:space="preserve"> prostriedkov pre jednotlivé opatrenia nastavuje Ministerstvo pôdohospodárstva a rozvoja vidieka SR.</w:t>
      </w:r>
      <w:r w:rsidR="00C3706E" w:rsidRPr="0010493C">
        <w:rPr>
          <w:rFonts w:ascii="Arial" w:hAnsi="Arial" w:cs="Arial"/>
          <w:i/>
          <w:sz w:val="24"/>
          <w:szCs w:val="24"/>
        </w:rPr>
        <w:t xml:space="preserve"> </w:t>
      </w:r>
      <w:r w:rsidR="00C3706E" w:rsidRPr="0010493C">
        <w:rPr>
          <w:rFonts w:ascii="Arial" w:hAnsi="Arial" w:cs="Arial"/>
          <w:b/>
          <w:i/>
          <w:sz w:val="24"/>
          <w:szCs w:val="24"/>
        </w:rPr>
        <w:t>Preto, prosím, tieto</w:t>
      </w:r>
      <w:r w:rsidR="0010493C">
        <w:rPr>
          <w:rFonts w:ascii="Arial" w:hAnsi="Arial" w:cs="Arial"/>
          <w:b/>
          <w:i/>
          <w:sz w:val="24"/>
          <w:szCs w:val="24"/>
        </w:rPr>
        <w:t xml:space="preserve"> informácie chápte len ako možnosť</w:t>
      </w:r>
      <w:r w:rsidR="00C3706E" w:rsidRPr="0010493C">
        <w:rPr>
          <w:rFonts w:ascii="Arial" w:hAnsi="Arial" w:cs="Arial"/>
          <w:b/>
          <w:i/>
          <w:sz w:val="24"/>
          <w:szCs w:val="24"/>
        </w:rPr>
        <w:t>, nie finálne</w:t>
      </w:r>
      <w:r w:rsidR="0010493C">
        <w:rPr>
          <w:rFonts w:ascii="Arial" w:hAnsi="Arial" w:cs="Arial"/>
          <w:b/>
          <w:i/>
          <w:sz w:val="24"/>
          <w:szCs w:val="24"/>
        </w:rPr>
        <w:t xml:space="preserve"> znenie</w:t>
      </w:r>
      <w:r w:rsidR="00C3706E" w:rsidRPr="0010493C">
        <w:rPr>
          <w:rFonts w:ascii="Arial" w:hAnsi="Arial" w:cs="Arial"/>
          <w:b/>
          <w:i/>
          <w:sz w:val="24"/>
          <w:szCs w:val="24"/>
        </w:rPr>
        <w:t>!</w:t>
      </w:r>
    </w:p>
    <w:p w:rsidR="00C3706E" w:rsidRDefault="00C3706E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323" w:rsidRDefault="007F5323" w:rsidP="007F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5. časti nášho informačného seriálu sme uviedli </w:t>
      </w:r>
      <w:r w:rsidR="0045487E">
        <w:rPr>
          <w:rFonts w:ascii="Arial" w:hAnsi="Arial" w:cs="Arial"/>
          <w:b/>
          <w:sz w:val="24"/>
          <w:szCs w:val="24"/>
        </w:rPr>
        <w:t>hlavné prvk</w:t>
      </w:r>
      <w:r w:rsidRPr="00FD299F">
        <w:rPr>
          <w:rFonts w:ascii="Arial" w:hAnsi="Arial" w:cs="Arial"/>
          <w:b/>
          <w:sz w:val="24"/>
          <w:szCs w:val="24"/>
        </w:rPr>
        <w:t>y podpory v I. pilieri</w:t>
      </w:r>
      <w:r w:rsidR="00696A06" w:rsidRPr="00FD299F">
        <w:rPr>
          <w:rFonts w:ascii="Arial" w:hAnsi="Arial" w:cs="Arial"/>
          <w:b/>
          <w:sz w:val="24"/>
          <w:szCs w:val="24"/>
        </w:rPr>
        <w:t xml:space="preserve"> </w:t>
      </w:r>
      <w:r w:rsidR="00696A06">
        <w:rPr>
          <w:rFonts w:ascii="Arial" w:hAnsi="Arial" w:cs="Arial"/>
          <w:sz w:val="24"/>
          <w:szCs w:val="24"/>
        </w:rPr>
        <w:t>(priame platby)</w:t>
      </w:r>
      <w:r>
        <w:rPr>
          <w:rFonts w:ascii="Arial" w:hAnsi="Arial" w:cs="Arial"/>
          <w:sz w:val="24"/>
          <w:szCs w:val="24"/>
        </w:rPr>
        <w:t>:</w:t>
      </w:r>
    </w:p>
    <w:p w:rsidR="007F5323" w:rsidRDefault="007F5323" w:rsidP="007F532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Základná podpora príjmu a trvalej udržateľnosti - na plochu („BISS“)</w:t>
      </w:r>
    </w:p>
    <w:p w:rsidR="007F5323" w:rsidRDefault="007F5323" w:rsidP="007F532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Doplnková </w:t>
      </w:r>
      <w:proofErr w:type="spellStart"/>
      <w:r>
        <w:rPr>
          <w:rFonts w:ascii="Arial" w:hAnsi="Arial" w:cs="Arial"/>
          <w:sz w:val="24"/>
          <w:szCs w:val="24"/>
        </w:rPr>
        <w:t>redistributívna</w:t>
      </w:r>
      <w:proofErr w:type="spellEnd"/>
      <w:r>
        <w:rPr>
          <w:rFonts w:ascii="Arial" w:hAnsi="Arial" w:cs="Arial"/>
          <w:sz w:val="24"/>
          <w:szCs w:val="24"/>
        </w:rPr>
        <w:t xml:space="preserve"> podpora príjmu a trvalej udržateľnosti</w:t>
      </w:r>
      <w:r w:rsidRPr="007F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(„CRISS“)</w:t>
      </w:r>
    </w:p>
    <w:p w:rsidR="007F5323" w:rsidRDefault="007F5323" w:rsidP="007F532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Doplnková podpora príjmu pre mladých farmárov („CISYF“)</w:t>
      </w:r>
    </w:p>
    <w:p w:rsidR="007F5323" w:rsidRDefault="007F5323" w:rsidP="007F532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Schémy pre klímu a životné prostredie („</w:t>
      </w:r>
      <w:proofErr w:type="spellStart"/>
      <w:r>
        <w:rPr>
          <w:rFonts w:ascii="Arial" w:hAnsi="Arial" w:cs="Arial"/>
          <w:sz w:val="24"/>
          <w:szCs w:val="24"/>
        </w:rPr>
        <w:t>ekoschémy</w:t>
      </w:r>
      <w:proofErr w:type="spellEnd"/>
      <w:r>
        <w:rPr>
          <w:rFonts w:ascii="Arial" w:hAnsi="Arial" w:cs="Arial"/>
          <w:sz w:val="24"/>
          <w:szCs w:val="24"/>
        </w:rPr>
        <w:t>“)</w:t>
      </w:r>
    </w:p>
    <w:p w:rsidR="007F5323" w:rsidRDefault="00315D00" w:rsidP="007F532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v</w:t>
      </w:r>
      <w:r w:rsidR="007F5323">
        <w:rPr>
          <w:rFonts w:ascii="Arial" w:hAnsi="Arial" w:cs="Arial"/>
          <w:sz w:val="24"/>
          <w:szCs w:val="24"/>
        </w:rPr>
        <w:t xml:space="preserve">iazaná </w:t>
      </w:r>
      <w:r w:rsidR="00696A06">
        <w:rPr>
          <w:rFonts w:ascii="Arial" w:hAnsi="Arial" w:cs="Arial"/>
          <w:sz w:val="24"/>
          <w:szCs w:val="24"/>
        </w:rPr>
        <w:t>na produkciu.</w:t>
      </w:r>
    </w:p>
    <w:p w:rsidR="00696A06" w:rsidRDefault="00696A06" w:rsidP="00696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43C" w:rsidRDefault="00696A06" w:rsidP="00315D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tejto časti </w:t>
      </w:r>
      <w:r w:rsidR="00B34F11">
        <w:rPr>
          <w:rFonts w:ascii="Arial" w:hAnsi="Arial" w:cs="Arial"/>
          <w:sz w:val="24"/>
          <w:szCs w:val="24"/>
        </w:rPr>
        <w:t xml:space="preserve">si predstavíme </w:t>
      </w:r>
      <w:r w:rsidR="00B34F11" w:rsidRPr="00FD299F">
        <w:rPr>
          <w:rFonts w:ascii="Arial" w:hAnsi="Arial" w:cs="Arial"/>
          <w:b/>
          <w:sz w:val="24"/>
          <w:szCs w:val="24"/>
        </w:rPr>
        <w:t xml:space="preserve">hlavné </w:t>
      </w:r>
      <w:r w:rsidR="003E4D62">
        <w:rPr>
          <w:rFonts w:ascii="Arial" w:hAnsi="Arial" w:cs="Arial"/>
          <w:b/>
          <w:sz w:val="24"/>
          <w:szCs w:val="24"/>
        </w:rPr>
        <w:t xml:space="preserve">navrhované </w:t>
      </w:r>
      <w:r w:rsidR="00B34F11" w:rsidRPr="00FD299F">
        <w:rPr>
          <w:rFonts w:ascii="Arial" w:hAnsi="Arial" w:cs="Arial"/>
          <w:b/>
          <w:sz w:val="24"/>
          <w:szCs w:val="24"/>
        </w:rPr>
        <w:t xml:space="preserve">oblasti </w:t>
      </w:r>
      <w:r w:rsidRPr="00FD299F">
        <w:rPr>
          <w:rFonts w:ascii="Arial" w:hAnsi="Arial" w:cs="Arial"/>
          <w:b/>
          <w:sz w:val="24"/>
          <w:szCs w:val="24"/>
        </w:rPr>
        <w:t>pre opatrenia II. piliera</w:t>
      </w:r>
      <w:r w:rsidR="0061205A">
        <w:rPr>
          <w:rFonts w:ascii="Arial" w:hAnsi="Arial" w:cs="Arial"/>
          <w:sz w:val="24"/>
          <w:szCs w:val="24"/>
        </w:rPr>
        <w:t xml:space="preserve"> (rozvoj vidieka). </w:t>
      </w:r>
      <w:r w:rsidR="00315D00">
        <w:rPr>
          <w:rFonts w:ascii="Arial" w:hAnsi="Arial" w:cs="Arial"/>
          <w:sz w:val="24"/>
          <w:szCs w:val="24"/>
        </w:rPr>
        <w:t xml:space="preserve">Pre opatrenia II. piliera platí, že </w:t>
      </w:r>
      <w:r w:rsidR="0045487E">
        <w:rPr>
          <w:rFonts w:ascii="Arial" w:hAnsi="Arial" w:cs="Arial"/>
          <w:sz w:val="24"/>
          <w:szCs w:val="24"/>
        </w:rPr>
        <w:t xml:space="preserve">je povinné </w:t>
      </w:r>
      <w:r w:rsidR="00315D00">
        <w:rPr>
          <w:rFonts w:ascii="Arial" w:hAnsi="Arial" w:cs="Arial"/>
          <w:sz w:val="24"/>
          <w:szCs w:val="24"/>
        </w:rPr>
        <w:t xml:space="preserve">ich </w:t>
      </w:r>
      <w:r w:rsidR="00315D00" w:rsidRPr="00315D00">
        <w:rPr>
          <w:rFonts w:ascii="Arial" w:hAnsi="Arial" w:cs="Arial"/>
          <w:b/>
          <w:sz w:val="24"/>
          <w:szCs w:val="24"/>
        </w:rPr>
        <w:t>spolufinancovanie zo štátnych zdrojov</w:t>
      </w:r>
      <w:r w:rsidR="00315D00">
        <w:rPr>
          <w:rFonts w:ascii="Arial" w:hAnsi="Arial" w:cs="Arial"/>
          <w:sz w:val="24"/>
          <w:szCs w:val="24"/>
        </w:rPr>
        <w:t xml:space="preserve"> a taktiež aj samotným prijímateľom, v prípade predpokladu ziskovosti investičných projektov (príspevok je nižší ako 100%). O finančnom rozdelení </w:t>
      </w:r>
      <w:r w:rsidR="00B45529">
        <w:rPr>
          <w:rFonts w:ascii="Arial" w:hAnsi="Arial" w:cs="Arial"/>
          <w:sz w:val="24"/>
          <w:szCs w:val="24"/>
        </w:rPr>
        <w:t xml:space="preserve">obálky pre Slovensko </w:t>
      </w:r>
      <w:r w:rsidR="00315D00">
        <w:rPr>
          <w:rFonts w:ascii="Arial" w:hAnsi="Arial" w:cs="Arial"/>
          <w:sz w:val="24"/>
          <w:szCs w:val="24"/>
        </w:rPr>
        <w:t xml:space="preserve">a možnostiach </w:t>
      </w:r>
      <w:proofErr w:type="spellStart"/>
      <w:r w:rsidR="00315D00">
        <w:rPr>
          <w:rFonts w:ascii="Arial" w:hAnsi="Arial" w:cs="Arial"/>
          <w:sz w:val="24"/>
          <w:szCs w:val="24"/>
        </w:rPr>
        <w:t>kofinancovania</w:t>
      </w:r>
      <w:proofErr w:type="spellEnd"/>
      <w:r w:rsidR="00315D00">
        <w:rPr>
          <w:rFonts w:ascii="Arial" w:hAnsi="Arial" w:cs="Arial"/>
          <w:sz w:val="24"/>
          <w:szCs w:val="24"/>
        </w:rPr>
        <w:t xml:space="preserve"> sme písali v </w:t>
      </w:r>
      <w:r w:rsidR="00315D00">
        <w:rPr>
          <w:rFonts w:ascii="Arial" w:hAnsi="Arial" w:cs="Arial"/>
          <w:color w:val="002060"/>
          <w:sz w:val="24"/>
          <w:szCs w:val="24"/>
        </w:rPr>
        <w:t>4</w:t>
      </w:r>
      <w:r w:rsidR="00315D00" w:rsidRPr="00315D00">
        <w:rPr>
          <w:rFonts w:ascii="Arial" w:hAnsi="Arial" w:cs="Arial"/>
          <w:color w:val="002060"/>
          <w:sz w:val="24"/>
          <w:szCs w:val="24"/>
        </w:rPr>
        <w:t xml:space="preserve">.časti nášho </w:t>
      </w:r>
      <w:proofErr w:type="spellStart"/>
      <w:r w:rsidR="00315D00" w:rsidRPr="00315D00">
        <w:rPr>
          <w:rFonts w:ascii="Arial" w:hAnsi="Arial" w:cs="Arial"/>
          <w:color w:val="002060"/>
          <w:sz w:val="24"/>
          <w:szCs w:val="24"/>
        </w:rPr>
        <w:t>infoseriálu</w:t>
      </w:r>
      <w:proofErr w:type="spellEnd"/>
      <w:r w:rsidR="00315D00">
        <w:rPr>
          <w:rFonts w:ascii="Arial" w:hAnsi="Arial" w:cs="Arial"/>
          <w:sz w:val="24"/>
          <w:szCs w:val="24"/>
        </w:rPr>
        <w:t>. Prostriedky „Programu rozvoja vidieka“ môžu účinne pomôcť rozvoju vybraných sektorov a pre mnohé členské krajiny EÚ i</w:t>
      </w:r>
      <w:r w:rsidR="0024643C">
        <w:rPr>
          <w:rFonts w:ascii="Arial" w:hAnsi="Arial" w:cs="Arial"/>
          <w:sz w:val="24"/>
          <w:szCs w:val="24"/>
        </w:rPr>
        <w:t xml:space="preserve">de o kľúčový zdroj rozvoja </w:t>
      </w:r>
      <w:r w:rsidR="00315D00">
        <w:rPr>
          <w:rFonts w:ascii="Arial" w:hAnsi="Arial" w:cs="Arial"/>
          <w:sz w:val="24"/>
          <w:szCs w:val="24"/>
        </w:rPr>
        <w:t>podnikania na vidieku. P</w:t>
      </w:r>
      <w:r w:rsidR="0024643C">
        <w:rPr>
          <w:rFonts w:ascii="Arial" w:hAnsi="Arial" w:cs="Arial"/>
          <w:sz w:val="24"/>
          <w:szCs w:val="24"/>
        </w:rPr>
        <w:t>odľa Inštitútu poľnohospodárskej politiky (IPP) je p</w:t>
      </w:r>
      <w:r w:rsidR="00315D00">
        <w:rPr>
          <w:rFonts w:ascii="Arial" w:hAnsi="Arial" w:cs="Arial"/>
          <w:sz w:val="24"/>
          <w:szCs w:val="24"/>
        </w:rPr>
        <w:t xml:space="preserve">redpokladom </w:t>
      </w:r>
      <w:r w:rsidR="0024643C">
        <w:rPr>
          <w:rFonts w:ascii="Arial" w:hAnsi="Arial" w:cs="Arial"/>
          <w:sz w:val="24"/>
          <w:szCs w:val="24"/>
        </w:rPr>
        <w:t>efektívneho fungovania PRV vypracovaný presný plán výziev pre každý rok a jeho dodržiavanie, vyššia frekvencia výziev, podporených viac menších projektov, elektronické podávanie žiadostí a efektívnejšie hodnotenie projektov. Pre úspešnosť dobrých projektov je podstatn</w:t>
      </w:r>
      <w:r w:rsidR="00431756">
        <w:rPr>
          <w:rFonts w:ascii="Arial" w:hAnsi="Arial" w:cs="Arial"/>
          <w:sz w:val="24"/>
          <w:szCs w:val="24"/>
        </w:rPr>
        <w:t>é aj vyčleniť zdroje aj pre najnižšie rozvinuté okresy, rozšíriť využívanie zjednodušených možností vykazovania nákladov a samozrejme</w:t>
      </w:r>
      <w:r w:rsidR="00431756" w:rsidRPr="0024643C">
        <w:rPr>
          <w:rFonts w:ascii="Arial" w:hAnsi="Arial" w:cs="Arial"/>
          <w:sz w:val="24"/>
          <w:szCs w:val="24"/>
          <w:u w:val="single"/>
        </w:rPr>
        <w:t xml:space="preserve"> </w:t>
      </w:r>
      <w:r w:rsidR="0024643C" w:rsidRPr="0024643C">
        <w:rPr>
          <w:rFonts w:ascii="Arial" w:hAnsi="Arial" w:cs="Arial"/>
          <w:sz w:val="24"/>
          <w:szCs w:val="24"/>
          <w:u w:val="single"/>
        </w:rPr>
        <w:t>nulová miera korupcie</w:t>
      </w:r>
      <w:r w:rsidR="0024643C">
        <w:rPr>
          <w:rFonts w:ascii="Arial" w:hAnsi="Arial" w:cs="Arial"/>
          <w:sz w:val="24"/>
          <w:szCs w:val="24"/>
        </w:rPr>
        <w:t>.</w:t>
      </w:r>
    </w:p>
    <w:p w:rsidR="00315D00" w:rsidRDefault="00565262" w:rsidP="00315D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PRV možno opatrenia rozdeliť do dvoch kategórií – </w:t>
      </w:r>
      <w:r w:rsidRPr="00565262">
        <w:rPr>
          <w:rFonts w:ascii="Arial" w:hAnsi="Arial" w:cs="Arial"/>
          <w:b/>
          <w:sz w:val="24"/>
          <w:szCs w:val="24"/>
        </w:rPr>
        <w:t>neprojektové opatrenia</w:t>
      </w:r>
      <w:r>
        <w:rPr>
          <w:rFonts w:ascii="Arial" w:hAnsi="Arial" w:cs="Arial"/>
          <w:sz w:val="24"/>
          <w:szCs w:val="24"/>
        </w:rPr>
        <w:t xml:space="preserve"> (kompenzácia straty príjmu spôsobenej nepriaznivými prírodnými podmienkami, či dodržiavaním určitých podmienok) a </w:t>
      </w:r>
      <w:r w:rsidRPr="00565262">
        <w:rPr>
          <w:rFonts w:ascii="Arial" w:hAnsi="Arial" w:cs="Arial"/>
          <w:b/>
          <w:sz w:val="24"/>
          <w:szCs w:val="24"/>
        </w:rPr>
        <w:t>projektové opatrenia</w:t>
      </w:r>
      <w:r>
        <w:rPr>
          <w:rFonts w:ascii="Arial" w:hAnsi="Arial" w:cs="Arial"/>
          <w:sz w:val="24"/>
          <w:szCs w:val="24"/>
        </w:rPr>
        <w:t xml:space="preserve"> (investičné, </w:t>
      </w:r>
      <w:r w:rsidR="00B4552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zlepšovanie podmienok</w:t>
      </w:r>
      <w:r w:rsidR="00B45529">
        <w:rPr>
          <w:rFonts w:ascii="Arial" w:hAnsi="Arial" w:cs="Arial"/>
          <w:sz w:val="24"/>
          <w:szCs w:val="24"/>
        </w:rPr>
        <w:t>, rozvoj</w:t>
      </w:r>
      <w:r>
        <w:rPr>
          <w:rFonts w:ascii="Arial" w:hAnsi="Arial" w:cs="Arial"/>
          <w:sz w:val="24"/>
          <w:szCs w:val="24"/>
        </w:rPr>
        <w:t>).</w:t>
      </w:r>
      <w:r w:rsidR="00B45529">
        <w:rPr>
          <w:rFonts w:ascii="Arial" w:hAnsi="Arial" w:cs="Arial"/>
          <w:sz w:val="24"/>
          <w:szCs w:val="24"/>
        </w:rPr>
        <w:t xml:space="preserve"> </w:t>
      </w:r>
    </w:p>
    <w:p w:rsidR="00315D00" w:rsidRDefault="00F30372" w:rsidP="00315D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Medzi </w:t>
      </w:r>
      <w:r w:rsidRPr="00986874">
        <w:rPr>
          <w:rFonts w:ascii="Arial" w:hAnsi="Arial" w:cs="Arial"/>
          <w:b/>
          <w:sz w:val="24"/>
          <w:szCs w:val="24"/>
        </w:rPr>
        <w:t>neprojektové opatrenia</w:t>
      </w:r>
      <w:r>
        <w:rPr>
          <w:rFonts w:ascii="Arial" w:hAnsi="Arial" w:cs="Arial"/>
          <w:sz w:val="24"/>
          <w:szCs w:val="24"/>
        </w:rPr>
        <w:t xml:space="preserve"> </w:t>
      </w:r>
      <w:r w:rsidR="00B45529">
        <w:rPr>
          <w:rFonts w:ascii="Arial" w:hAnsi="Arial" w:cs="Arial"/>
          <w:sz w:val="24"/>
          <w:szCs w:val="24"/>
        </w:rPr>
        <w:t>patria</w:t>
      </w:r>
      <w:r w:rsidR="00AE79D7">
        <w:rPr>
          <w:rFonts w:ascii="Arial" w:hAnsi="Arial" w:cs="Arial"/>
          <w:sz w:val="24"/>
          <w:szCs w:val="24"/>
        </w:rPr>
        <w:t xml:space="preserve"> hlavne </w:t>
      </w:r>
      <w:r w:rsidR="00AE79D7" w:rsidRPr="00612065">
        <w:rPr>
          <w:rFonts w:ascii="Arial" w:hAnsi="Arial" w:cs="Arial"/>
          <w:b/>
          <w:sz w:val="24"/>
          <w:szCs w:val="24"/>
        </w:rPr>
        <w:t>„AEKO“</w:t>
      </w:r>
      <w:r w:rsidR="0061206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12065">
        <w:rPr>
          <w:rFonts w:ascii="Arial" w:hAnsi="Arial" w:cs="Arial"/>
          <w:sz w:val="24"/>
          <w:szCs w:val="24"/>
        </w:rPr>
        <w:t>agroenvironmentálno</w:t>
      </w:r>
      <w:proofErr w:type="spellEnd"/>
      <w:r w:rsidR="00612065">
        <w:rPr>
          <w:rFonts w:ascii="Arial" w:hAnsi="Arial" w:cs="Arial"/>
          <w:sz w:val="24"/>
          <w:szCs w:val="24"/>
        </w:rPr>
        <w:t xml:space="preserve">-klimatické opatrenia), na ktoré bude treba vyčleniť </w:t>
      </w:r>
      <w:r w:rsidR="00612065" w:rsidRPr="00612065">
        <w:rPr>
          <w:rFonts w:ascii="Arial" w:hAnsi="Arial" w:cs="Arial"/>
          <w:b/>
          <w:sz w:val="24"/>
          <w:szCs w:val="24"/>
        </w:rPr>
        <w:t>aspoň 30%</w:t>
      </w:r>
      <w:r w:rsidR="00612065">
        <w:rPr>
          <w:rFonts w:ascii="Arial" w:hAnsi="Arial" w:cs="Arial"/>
          <w:sz w:val="24"/>
          <w:szCs w:val="24"/>
        </w:rPr>
        <w:t xml:space="preserve"> z celého balíka pre PRV. Ich uplatňovanie však bude pre poľnohospodárov </w:t>
      </w:r>
      <w:r w:rsidR="00612065" w:rsidRPr="00B45529">
        <w:rPr>
          <w:rFonts w:ascii="Arial" w:hAnsi="Arial" w:cs="Arial"/>
          <w:sz w:val="24"/>
          <w:szCs w:val="24"/>
          <w:u w:val="single"/>
        </w:rPr>
        <w:t>dobrovoľné</w:t>
      </w:r>
      <w:r w:rsidR="00612065">
        <w:rPr>
          <w:rFonts w:ascii="Arial" w:hAnsi="Arial" w:cs="Arial"/>
          <w:sz w:val="24"/>
          <w:szCs w:val="24"/>
        </w:rPr>
        <w:t xml:space="preserve">. </w:t>
      </w:r>
      <w:r w:rsidR="00C84A14">
        <w:rPr>
          <w:rFonts w:ascii="Arial" w:hAnsi="Arial" w:cs="Arial"/>
          <w:sz w:val="24"/>
          <w:szCs w:val="24"/>
        </w:rPr>
        <w:t>V</w:t>
      </w:r>
      <w:r w:rsidR="0024643C">
        <w:rPr>
          <w:rFonts w:ascii="Arial" w:hAnsi="Arial" w:cs="Arial"/>
          <w:sz w:val="24"/>
          <w:szCs w:val="24"/>
        </w:rPr>
        <w:t xml:space="preserve"> budúcom období pre roky 2021-2027 sa </w:t>
      </w:r>
      <w:r w:rsidR="001F39DE">
        <w:rPr>
          <w:rFonts w:ascii="Arial" w:hAnsi="Arial" w:cs="Arial"/>
          <w:sz w:val="24"/>
          <w:szCs w:val="24"/>
        </w:rPr>
        <w:t xml:space="preserve">môžu </w:t>
      </w:r>
      <w:r w:rsidR="00C84A14">
        <w:rPr>
          <w:rFonts w:ascii="Arial" w:hAnsi="Arial" w:cs="Arial"/>
          <w:sz w:val="24"/>
          <w:szCs w:val="24"/>
        </w:rPr>
        <w:t xml:space="preserve">aktuálne existujúce požiadavky </w:t>
      </w:r>
      <w:r w:rsidR="0024643C">
        <w:rPr>
          <w:rFonts w:ascii="Arial" w:hAnsi="Arial" w:cs="Arial"/>
          <w:sz w:val="24"/>
          <w:szCs w:val="24"/>
        </w:rPr>
        <w:t xml:space="preserve">rozšíriť o ďalšie </w:t>
      </w:r>
      <w:r w:rsidR="001F39DE">
        <w:rPr>
          <w:rFonts w:ascii="Arial" w:hAnsi="Arial" w:cs="Arial"/>
          <w:sz w:val="24"/>
          <w:szCs w:val="24"/>
        </w:rPr>
        <w:t>operácie zamerané na efektívne využívanie prírodný</w:t>
      </w:r>
      <w:r w:rsidR="00A5015C">
        <w:rPr>
          <w:rFonts w:ascii="Arial" w:hAnsi="Arial" w:cs="Arial"/>
          <w:sz w:val="24"/>
          <w:szCs w:val="24"/>
        </w:rPr>
        <w:t>ch zdrojov (zvýšenie kvality pôdy, vody)</w:t>
      </w:r>
      <w:r w:rsidR="001F39DE">
        <w:rPr>
          <w:rFonts w:ascii="Arial" w:hAnsi="Arial" w:cs="Arial"/>
          <w:sz w:val="24"/>
          <w:szCs w:val="24"/>
        </w:rPr>
        <w:t>, zachovanie</w:t>
      </w:r>
      <w:r w:rsidR="0024643C">
        <w:rPr>
          <w:rFonts w:ascii="Arial" w:hAnsi="Arial" w:cs="Arial"/>
          <w:sz w:val="24"/>
          <w:szCs w:val="24"/>
        </w:rPr>
        <w:t xml:space="preserve"> biodiverzity v krajine, ochranu</w:t>
      </w:r>
      <w:r w:rsidR="001F39DE">
        <w:rPr>
          <w:rFonts w:ascii="Arial" w:hAnsi="Arial" w:cs="Arial"/>
          <w:sz w:val="24"/>
          <w:szCs w:val="24"/>
        </w:rPr>
        <w:t xml:space="preserve"> biotopov, obmedzenia v oblastiach Natura 2000 a ďalšie opatrenia pre environmentálne a klimatické záväzky.</w:t>
      </w:r>
      <w:r w:rsidR="00986874">
        <w:rPr>
          <w:rFonts w:ascii="Arial" w:hAnsi="Arial" w:cs="Arial"/>
          <w:sz w:val="24"/>
          <w:szCs w:val="24"/>
        </w:rPr>
        <w:t xml:space="preserve"> Nárok na kompenzačnú platbu má subjekt automaticky po splnení stanovených podmienok.</w:t>
      </w:r>
      <w:r w:rsidR="00C84A14">
        <w:rPr>
          <w:rFonts w:ascii="Arial" w:hAnsi="Arial" w:cs="Arial"/>
          <w:sz w:val="24"/>
          <w:szCs w:val="24"/>
        </w:rPr>
        <w:t xml:space="preserve"> Avšak IPP odporúča v záujme </w:t>
      </w:r>
      <w:r w:rsidR="00A5015C">
        <w:rPr>
          <w:rFonts w:ascii="Arial" w:hAnsi="Arial" w:cs="Arial"/>
          <w:sz w:val="24"/>
          <w:szCs w:val="24"/>
        </w:rPr>
        <w:t xml:space="preserve">efektívnejšej podpory zvýhodniť ANC oblasti v projektových opatreniach PRV zameraných na </w:t>
      </w:r>
      <w:proofErr w:type="spellStart"/>
      <w:r w:rsidR="00A5015C">
        <w:rPr>
          <w:rFonts w:ascii="Arial" w:hAnsi="Arial" w:cs="Arial"/>
          <w:sz w:val="24"/>
          <w:szCs w:val="24"/>
        </w:rPr>
        <w:t>agroturizmus</w:t>
      </w:r>
      <w:proofErr w:type="spellEnd"/>
      <w:r w:rsidR="00A5015C">
        <w:rPr>
          <w:rFonts w:ascii="Arial" w:hAnsi="Arial" w:cs="Arial"/>
          <w:sz w:val="24"/>
          <w:szCs w:val="24"/>
        </w:rPr>
        <w:t xml:space="preserve">, živočíšnu výrobu a modernizáciu výroby. Taktiež diferencovať platbu podľa zaťaženosti poľnohospodárskej pôdy živočíšnou výrobou (napr. min.0,3 VDJ/ha celej </w:t>
      </w:r>
      <w:proofErr w:type="spellStart"/>
      <w:r w:rsidR="00A5015C">
        <w:rPr>
          <w:rFonts w:ascii="Arial" w:hAnsi="Arial" w:cs="Arial"/>
          <w:sz w:val="24"/>
          <w:szCs w:val="24"/>
        </w:rPr>
        <w:t>poľnoh</w:t>
      </w:r>
      <w:proofErr w:type="spellEnd"/>
      <w:r w:rsidR="00A5015C">
        <w:rPr>
          <w:rFonts w:ascii="Arial" w:hAnsi="Arial" w:cs="Arial"/>
          <w:sz w:val="24"/>
          <w:szCs w:val="24"/>
        </w:rPr>
        <w:t xml:space="preserve">. pôdy, </w:t>
      </w:r>
      <w:proofErr w:type="spellStart"/>
      <w:r w:rsidR="00A5015C">
        <w:rPr>
          <w:rFonts w:ascii="Arial" w:hAnsi="Arial" w:cs="Arial"/>
          <w:sz w:val="24"/>
          <w:szCs w:val="24"/>
        </w:rPr>
        <w:t>t.j</w:t>
      </w:r>
      <w:proofErr w:type="spellEnd"/>
      <w:r w:rsidR="00A5015C">
        <w:rPr>
          <w:rFonts w:ascii="Arial" w:hAnsi="Arial" w:cs="Arial"/>
          <w:sz w:val="24"/>
          <w:szCs w:val="24"/>
        </w:rPr>
        <w:t>. TTP + orná pôda). Vyššiu platbu by získal subjekt s vyšším zaťažením.</w:t>
      </w:r>
    </w:p>
    <w:p w:rsidR="00431756" w:rsidRDefault="00986874" w:rsidP="00315D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F39DE">
        <w:rPr>
          <w:rFonts w:ascii="Arial" w:hAnsi="Arial" w:cs="Arial"/>
          <w:sz w:val="24"/>
          <w:szCs w:val="24"/>
        </w:rPr>
        <w:t>vyšných</w:t>
      </w:r>
      <w:r>
        <w:rPr>
          <w:rFonts w:ascii="Arial" w:hAnsi="Arial" w:cs="Arial"/>
          <w:sz w:val="24"/>
          <w:szCs w:val="24"/>
        </w:rPr>
        <w:t xml:space="preserve"> max.</w:t>
      </w:r>
      <w:r w:rsidR="001F39DE">
        <w:rPr>
          <w:rFonts w:ascii="Arial" w:hAnsi="Arial" w:cs="Arial"/>
          <w:sz w:val="24"/>
          <w:szCs w:val="24"/>
        </w:rPr>
        <w:t xml:space="preserve"> </w:t>
      </w:r>
      <w:r w:rsidR="001F39DE" w:rsidRPr="0059567F">
        <w:rPr>
          <w:rFonts w:ascii="Arial" w:hAnsi="Arial" w:cs="Arial"/>
          <w:b/>
          <w:sz w:val="24"/>
          <w:szCs w:val="24"/>
        </w:rPr>
        <w:t>70%</w:t>
      </w:r>
      <w:r w:rsidR="001F39DE">
        <w:rPr>
          <w:rFonts w:ascii="Arial" w:hAnsi="Arial" w:cs="Arial"/>
          <w:sz w:val="24"/>
          <w:szCs w:val="24"/>
        </w:rPr>
        <w:t xml:space="preserve"> prostriedkov určených pre II. pilier bude možné zacieliť na </w:t>
      </w:r>
      <w:r w:rsidR="001F39DE" w:rsidRPr="0059567F">
        <w:rPr>
          <w:rFonts w:ascii="Arial" w:hAnsi="Arial" w:cs="Arial"/>
          <w:b/>
          <w:sz w:val="24"/>
          <w:szCs w:val="24"/>
        </w:rPr>
        <w:t>plánované projekty rozvoja</w:t>
      </w:r>
      <w:r w:rsidR="001F39DE">
        <w:rPr>
          <w:rFonts w:ascii="Arial" w:hAnsi="Arial" w:cs="Arial"/>
          <w:sz w:val="24"/>
          <w:szCs w:val="24"/>
        </w:rPr>
        <w:t>, ktoré Slovenský agropotravin</w:t>
      </w:r>
      <w:r w:rsidR="0059567F">
        <w:rPr>
          <w:rFonts w:ascii="Arial" w:hAnsi="Arial" w:cs="Arial"/>
          <w:sz w:val="24"/>
          <w:szCs w:val="24"/>
        </w:rPr>
        <w:t>ársky sektor potrebuje najviac. V rámci ôsmych „intervencií“ si môže každý členský štát EÚ vybrať a „ušiť</w:t>
      </w:r>
      <w:r w:rsidR="004D2D44">
        <w:rPr>
          <w:rFonts w:ascii="Arial" w:hAnsi="Arial" w:cs="Arial"/>
          <w:sz w:val="24"/>
          <w:szCs w:val="24"/>
        </w:rPr>
        <w:t>“ si ich</w:t>
      </w:r>
      <w:r w:rsidR="0059567F">
        <w:rPr>
          <w:rFonts w:ascii="Arial" w:hAnsi="Arial" w:cs="Arial"/>
          <w:sz w:val="24"/>
          <w:szCs w:val="24"/>
        </w:rPr>
        <w:t xml:space="preserve"> na mieru</w:t>
      </w:r>
      <w:r w:rsidR="004D2D44">
        <w:rPr>
          <w:rFonts w:ascii="Arial" w:hAnsi="Arial" w:cs="Arial"/>
          <w:sz w:val="24"/>
          <w:szCs w:val="24"/>
        </w:rPr>
        <w:t xml:space="preserve">. </w:t>
      </w:r>
      <w:r w:rsidR="0059567F">
        <w:rPr>
          <w:rFonts w:ascii="Arial" w:hAnsi="Arial" w:cs="Arial"/>
          <w:sz w:val="24"/>
          <w:szCs w:val="24"/>
        </w:rPr>
        <w:t xml:space="preserve">Samozrejme musí pritom vychádzať zo </w:t>
      </w:r>
      <w:r w:rsidR="0059567F" w:rsidRPr="0059567F">
        <w:rPr>
          <w:rFonts w:ascii="Arial" w:hAnsi="Arial" w:cs="Arial"/>
          <w:b/>
          <w:sz w:val="24"/>
          <w:szCs w:val="24"/>
        </w:rPr>
        <w:t>SWOT analýzy</w:t>
      </w:r>
      <w:r w:rsidR="004D2D44">
        <w:rPr>
          <w:rFonts w:ascii="Arial" w:hAnsi="Arial" w:cs="Arial"/>
          <w:b/>
          <w:sz w:val="24"/>
          <w:szCs w:val="24"/>
        </w:rPr>
        <w:t xml:space="preserve"> stavu v krajine</w:t>
      </w:r>
      <w:r w:rsidR="0059567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9567F">
        <w:rPr>
          <w:rFonts w:ascii="Arial" w:hAnsi="Arial" w:cs="Arial"/>
          <w:sz w:val="24"/>
          <w:szCs w:val="24"/>
        </w:rPr>
        <w:t>t.j</w:t>
      </w:r>
      <w:proofErr w:type="spellEnd"/>
      <w:r w:rsidR="0059567F">
        <w:rPr>
          <w:rFonts w:ascii="Arial" w:hAnsi="Arial" w:cs="Arial"/>
          <w:sz w:val="24"/>
          <w:szCs w:val="24"/>
        </w:rPr>
        <w:t>. analýza silných a slabých stránok, príležitostí a ohrození), ktorú si vopred vypracuje (</w:t>
      </w:r>
      <w:r w:rsidR="0059567F" w:rsidRPr="0059567F">
        <w:rPr>
          <w:rFonts w:ascii="Arial" w:hAnsi="Arial" w:cs="Arial"/>
          <w:i/>
          <w:sz w:val="24"/>
          <w:szCs w:val="24"/>
        </w:rPr>
        <w:t>pozn. NPPC – VÚEPP ju už vypracoval pre SR</w:t>
      </w:r>
      <w:r w:rsidR="0059567F">
        <w:rPr>
          <w:rFonts w:ascii="Arial" w:hAnsi="Arial" w:cs="Arial"/>
          <w:sz w:val="24"/>
          <w:szCs w:val="24"/>
        </w:rPr>
        <w:t>).</w:t>
      </w:r>
    </w:p>
    <w:p w:rsidR="001F39DE" w:rsidRDefault="0059567F" w:rsidP="00315D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 tu </w:t>
      </w:r>
      <w:r w:rsidR="0090049D">
        <w:rPr>
          <w:rFonts w:ascii="Arial" w:hAnsi="Arial" w:cs="Arial"/>
          <w:sz w:val="24"/>
          <w:szCs w:val="24"/>
        </w:rPr>
        <w:t xml:space="preserve">je možné </w:t>
      </w:r>
      <w:r>
        <w:rPr>
          <w:rFonts w:ascii="Arial" w:hAnsi="Arial" w:cs="Arial"/>
          <w:sz w:val="24"/>
          <w:szCs w:val="24"/>
        </w:rPr>
        <w:t>vybrať</w:t>
      </w:r>
      <w:r w:rsidR="0090049D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 xml:space="preserve"> z</w:t>
      </w:r>
      <w:r w:rsidR="0090049D">
        <w:rPr>
          <w:rFonts w:ascii="Arial" w:hAnsi="Arial" w:cs="Arial"/>
          <w:sz w:val="24"/>
          <w:szCs w:val="24"/>
        </w:rPr>
        <w:t> možností, ktoré aktuálne ponúka legislatívny návrh Európskej Komisie</w:t>
      </w:r>
      <w:r w:rsidR="00531AC5">
        <w:rPr>
          <w:rFonts w:ascii="Arial" w:hAnsi="Arial" w:cs="Arial"/>
          <w:sz w:val="24"/>
          <w:szCs w:val="24"/>
        </w:rPr>
        <w:t>, napríklad</w:t>
      </w:r>
      <w:r>
        <w:rPr>
          <w:rFonts w:ascii="Arial" w:hAnsi="Arial" w:cs="Arial"/>
          <w:sz w:val="24"/>
          <w:szCs w:val="24"/>
        </w:rPr>
        <w:t>:</w:t>
      </w:r>
    </w:p>
    <w:p w:rsidR="0059567F" w:rsidRPr="00DE621F" w:rsidRDefault="0059567F" w:rsidP="00E52D60">
      <w:pPr>
        <w:pStyle w:val="Odsekzoznamu"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621F">
        <w:rPr>
          <w:rFonts w:ascii="Arial" w:hAnsi="Arial" w:cs="Arial"/>
          <w:b/>
          <w:sz w:val="24"/>
          <w:szCs w:val="24"/>
        </w:rPr>
        <w:t>Investície:</w:t>
      </w:r>
    </w:p>
    <w:p w:rsidR="00DE621F" w:rsidRDefault="00DE621F" w:rsidP="00DE621F">
      <w:pPr>
        <w:pStyle w:val="Odsekzoznamu"/>
        <w:numPr>
          <w:ilvl w:val="1"/>
          <w:numId w:val="20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E52D60">
        <w:rPr>
          <w:rFonts w:ascii="Arial" w:hAnsi="Arial" w:cs="Arial"/>
          <w:sz w:val="24"/>
          <w:szCs w:val="24"/>
        </w:rPr>
        <w:t>p</w:t>
      </w:r>
      <w:r w:rsidR="0024643C">
        <w:rPr>
          <w:rFonts w:ascii="Arial" w:hAnsi="Arial" w:cs="Arial"/>
          <w:sz w:val="24"/>
          <w:szCs w:val="24"/>
        </w:rPr>
        <w:t>odľa IPP</w:t>
      </w:r>
      <w:r>
        <w:rPr>
          <w:rFonts w:ascii="Arial" w:hAnsi="Arial" w:cs="Arial"/>
          <w:sz w:val="24"/>
          <w:szCs w:val="24"/>
        </w:rPr>
        <w:t xml:space="preserve"> by Slovensko malo predovšetkým investovať do</w:t>
      </w:r>
      <w:r w:rsidR="00431756">
        <w:rPr>
          <w:rFonts w:ascii="Arial" w:hAnsi="Arial" w:cs="Arial"/>
          <w:sz w:val="24"/>
          <w:szCs w:val="24"/>
        </w:rPr>
        <w:t xml:space="preserve"> </w:t>
      </w:r>
      <w:r w:rsidR="00431756" w:rsidRPr="00431756">
        <w:rPr>
          <w:rFonts w:ascii="Arial" w:hAnsi="Arial" w:cs="Arial"/>
          <w:b/>
          <w:sz w:val="24"/>
          <w:szCs w:val="24"/>
        </w:rPr>
        <w:t>konsolidácie trhu s pôdou</w:t>
      </w:r>
      <w:r w:rsidR="00431756">
        <w:rPr>
          <w:rFonts w:ascii="Arial" w:hAnsi="Arial" w:cs="Arial"/>
          <w:sz w:val="24"/>
          <w:szCs w:val="24"/>
        </w:rPr>
        <w:t>, a teda do</w:t>
      </w:r>
      <w:r w:rsidR="00531AC5">
        <w:rPr>
          <w:rFonts w:ascii="Arial" w:hAnsi="Arial" w:cs="Arial"/>
          <w:sz w:val="24"/>
          <w:szCs w:val="24"/>
        </w:rPr>
        <w:t xml:space="preserve"> </w:t>
      </w:r>
      <w:r w:rsidR="00531AC5">
        <w:rPr>
          <w:rFonts w:ascii="Arial" w:hAnsi="Arial" w:cs="Arial"/>
          <w:sz w:val="24"/>
          <w:szCs w:val="24"/>
          <w:u w:val="single"/>
        </w:rPr>
        <w:t xml:space="preserve">pozemkových úprav a </w:t>
      </w:r>
      <w:r w:rsidRPr="00DE621F">
        <w:rPr>
          <w:rFonts w:ascii="Arial" w:hAnsi="Arial" w:cs="Arial"/>
          <w:sz w:val="24"/>
          <w:szCs w:val="24"/>
          <w:u w:val="single"/>
        </w:rPr>
        <w:t>sceľovania vlastníctva pôdy</w:t>
      </w:r>
      <w:r w:rsidR="00531AC5">
        <w:rPr>
          <w:rFonts w:ascii="Arial" w:hAnsi="Arial" w:cs="Arial"/>
          <w:sz w:val="24"/>
          <w:szCs w:val="24"/>
          <w:u w:val="single"/>
        </w:rPr>
        <w:t xml:space="preserve"> (tzv. </w:t>
      </w:r>
      <w:proofErr w:type="spellStart"/>
      <w:r w:rsidR="00531AC5">
        <w:rPr>
          <w:rFonts w:ascii="Arial" w:hAnsi="Arial" w:cs="Arial"/>
          <w:sz w:val="24"/>
          <w:szCs w:val="24"/>
          <w:u w:val="single"/>
        </w:rPr>
        <w:t>komasácia</w:t>
      </w:r>
      <w:proofErr w:type="spellEnd"/>
      <w:r w:rsidR="00531AC5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18311E">
        <w:rPr>
          <w:rFonts w:ascii="Arial" w:hAnsi="Arial" w:cs="Arial"/>
          <w:sz w:val="24"/>
          <w:szCs w:val="24"/>
        </w:rPr>
        <w:t xml:space="preserve">Pomocou projektov komplexných pozemkových úprav, alebo čiastočne prostredníctvom projektov jednoduchých pozemkových úprav je možné v praxi zrealizovať konsolidáciu v horizonte 30 rokov, pri predpokladaných nákladoch </w:t>
      </w:r>
      <w:r w:rsidR="0018311E" w:rsidRPr="0018311E">
        <w:rPr>
          <w:rFonts w:ascii="Arial" w:hAnsi="Arial" w:cs="Arial"/>
          <w:b/>
          <w:sz w:val="24"/>
          <w:szCs w:val="24"/>
        </w:rPr>
        <w:t>1 093 mil. eur</w:t>
      </w:r>
      <w:r w:rsidR="0018311E">
        <w:rPr>
          <w:rFonts w:ascii="Arial" w:hAnsi="Arial" w:cs="Arial"/>
          <w:sz w:val="24"/>
          <w:szCs w:val="24"/>
        </w:rPr>
        <w:t xml:space="preserve">. </w:t>
      </w:r>
      <w:r w:rsidR="00431756">
        <w:rPr>
          <w:rFonts w:ascii="Arial" w:hAnsi="Arial" w:cs="Arial"/>
          <w:sz w:val="24"/>
          <w:szCs w:val="24"/>
        </w:rPr>
        <w:t xml:space="preserve">Iba fungujúci trh s pôdou môže odstrániť súčasné problémy s vyplácaním priamych platieb a platieb v rámci PRV (viac na str.25-28 </w:t>
      </w:r>
      <w:r w:rsidR="00431756" w:rsidRPr="0018311E">
        <w:rPr>
          <w:rFonts w:ascii="Arial" w:hAnsi="Arial" w:cs="Arial"/>
          <w:color w:val="002060"/>
          <w:sz w:val="24"/>
          <w:szCs w:val="24"/>
        </w:rPr>
        <w:t>Revízie výdavkov IPP</w:t>
      </w:r>
      <w:r w:rsidR="00431756">
        <w:rPr>
          <w:rFonts w:ascii="Arial" w:hAnsi="Arial" w:cs="Arial"/>
          <w:sz w:val="24"/>
          <w:szCs w:val="24"/>
        </w:rPr>
        <w:t>).</w:t>
      </w:r>
    </w:p>
    <w:p w:rsidR="00C563D5" w:rsidRDefault="00C563D5" w:rsidP="00DE621F">
      <w:pPr>
        <w:pStyle w:val="Odsekzoznamu"/>
        <w:numPr>
          <w:ilvl w:val="1"/>
          <w:numId w:val="20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ďalšou významnou investíciou by malo byť </w:t>
      </w:r>
      <w:r w:rsidRPr="002A3C5D">
        <w:rPr>
          <w:rFonts w:ascii="Arial" w:hAnsi="Arial" w:cs="Arial"/>
          <w:b/>
          <w:sz w:val="24"/>
          <w:szCs w:val="24"/>
        </w:rPr>
        <w:t xml:space="preserve">posilnenie spracovateľského a potravinárskeho priemyslu </w:t>
      </w:r>
      <w:r>
        <w:rPr>
          <w:rFonts w:ascii="Arial" w:hAnsi="Arial" w:cs="Arial"/>
          <w:sz w:val="24"/>
          <w:szCs w:val="24"/>
        </w:rPr>
        <w:t>na Slovensku</w:t>
      </w:r>
      <w:r w:rsidR="00531AC5">
        <w:rPr>
          <w:rFonts w:ascii="Arial" w:hAnsi="Arial" w:cs="Arial"/>
          <w:sz w:val="24"/>
          <w:szCs w:val="24"/>
        </w:rPr>
        <w:t>, na ktorý by bolo možné naviazať poľnohospodársku prvovýrobu</w:t>
      </w:r>
      <w:r>
        <w:rPr>
          <w:rFonts w:ascii="Arial" w:hAnsi="Arial" w:cs="Arial"/>
          <w:sz w:val="24"/>
          <w:szCs w:val="24"/>
        </w:rPr>
        <w:t>. V niektorých sektoroch by bolo potrebné dobudovať výrobné kapacity</w:t>
      </w:r>
      <w:r w:rsidR="00CF7DFE">
        <w:rPr>
          <w:rFonts w:ascii="Arial" w:hAnsi="Arial" w:cs="Arial"/>
          <w:sz w:val="24"/>
          <w:szCs w:val="24"/>
        </w:rPr>
        <w:t>, inde zasa využiť kapacity voľ</w:t>
      </w:r>
      <w:r w:rsidR="00EA4CAA">
        <w:rPr>
          <w:rFonts w:ascii="Arial" w:hAnsi="Arial" w:cs="Arial"/>
          <w:sz w:val="24"/>
          <w:szCs w:val="24"/>
        </w:rPr>
        <w:t xml:space="preserve">né, no nevyužívané (viď graf), napr. </w:t>
      </w:r>
      <w:r w:rsidR="00CF7DFE">
        <w:rPr>
          <w:rFonts w:ascii="Arial" w:hAnsi="Arial" w:cs="Arial"/>
          <w:sz w:val="24"/>
          <w:szCs w:val="24"/>
        </w:rPr>
        <w:t xml:space="preserve">cukrovarnícky, </w:t>
      </w:r>
      <w:r w:rsidR="00EA4CAA">
        <w:rPr>
          <w:rFonts w:ascii="Arial" w:hAnsi="Arial" w:cs="Arial"/>
          <w:sz w:val="24"/>
          <w:szCs w:val="24"/>
        </w:rPr>
        <w:t>škrobárenský, pivovarnícky a sladovnícky, liehovarnícky priemysel</w:t>
      </w:r>
      <w:r w:rsidR="00531AC5">
        <w:rPr>
          <w:rFonts w:ascii="Arial" w:hAnsi="Arial" w:cs="Arial"/>
          <w:sz w:val="24"/>
          <w:szCs w:val="24"/>
        </w:rPr>
        <w:t>, atď.</w:t>
      </w:r>
      <w:r w:rsidR="002A3C5D">
        <w:rPr>
          <w:rFonts w:ascii="Arial" w:hAnsi="Arial" w:cs="Arial"/>
          <w:sz w:val="24"/>
          <w:szCs w:val="24"/>
        </w:rPr>
        <w:t xml:space="preserve"> Okrem toho by bolo možné podporiť aj spracovanie ďalších (druhotných) surovín, ako napr. ovčia vlna, ľanové a konopné vlákna, odpady apod.</w:t>
      </w:r>
    </w:p>
    <w:p w:rsidR="00EA4CAA" w:rsidRDefault="00EA4CAA" w:rsidP="00EA4CAA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EA4CAA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5105400" cy="4151450"/>
            <wp:effectExtent l="0" t="0" r="0" b="1905"/>
            <wp:docPr id="1" name="Obrázok 1" descr="C:\Users\450\Documents\Moje podnikanie\Vízie\SME RODINA\SPP po2020\Priemysel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0\Documents\Moje podnikanie\Vízie\SME RODINA\SPP po2020\Priemysel gr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35" cy="41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AA" w:rsidRPr="00EA4CAA" w:rsidRDefault="00EA4CAA" w:rsidP="00F37D81">
      <w:pPr>
        <w:spacing w:after="60" w:line="240" w:lineRule="auto"/>
        <w:ind w:left="708"/>
        <w:rPr>
          <w:rFonts w:ascii="Arial" w:hAnsi="Arial" w:cs="Arial"/>
          <w:sz w:val="24"/>
          <w:szCs w:val="24"/>
        </w:rPr>
      </w:pPr>
      <w:r w:rsidRPr="007F1F59">
        <w:rPr>
          <w:rFonts w:ascii="Arial" w:hAnsi="Arial" w:cs="Arial"/>
          <w:sz w:val="24"/>
          <w:szCs w:val="24"/>
          <w:u w:val="single"/>
        </w:rPr>
        <w:t>Graf:</w:t>
      </w:r>
      <w:r>
        <w:rPr>
          <w:rFonts w:ascii="Arial" w:hAnsi="Arial" w:cs="Arial"/>
          <w:sz w:val="24"/>
          <w:szCs w:val="24"/>
        </w:rPr>
        <w:t xml:space="preserve"> Rozmiestnenie sektorov spracovateľského priemyslu na Slovensku, podľa pridanej hodnoty na zamestnanca </w:t>
      </w:r>
      <w:r w:rsidR="00CF7DFE">
        <w:rPr>
          <w:rFonts w:ascii="Arial" w:hAnsi="Arial" w:cs="Arial"/>
          <w:sz w:val="24"/>
          <w:szCs w:val="24"/>
        </w:rPr>
        <w:t xml:space="preserve">(v euro) </w:t>
      </w:r>
      <w:r>
        <w:rPr>
          <w:rFonts w:ascii="Arial" w:hAnsi="Arial" w:cs="Arial"/>
          <w:sz w:val="24"/>
          <w:szCs w:val="24"/>
        </w:rPr>
        <w:t>a naplne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nosti </w:t>
      </w:r>
      <w:r w:rsidR="00CF7DFE">
        <w:rPr>
          <w:rFonts w:ascii="Arial" w:hAnsi="Arial" w:cs="Arial"/>
          <w:sz w:val="24"/>
          <w:szCs w:val="24"/>
        </w:rPr>
        <w:t xml:space="preserve">kapacít (v %), </w:t>
      </w:r>
      <w:r w:rsidR="00CF7DFE">
        <w:rPr>
          <w:rFonts w:ascii="Arial" w:hAnsi="Arial" w:cs="Arial"/>
          <w:i/>
          <w:sz w:val="24"/>
          <w:szCs w:val="24"/>
        </w:rPr>
        <w:t>Z</w:t>
      </w:r>
      <w:r w:rsidR="00F37D81">
        <w:rPr>
          <w:rFonts w:ascii="Arial" w:hAnsi="Arial" w:cs="Arial"/>
          <w:i/>
          <w:sz w:val="24"/>
          <w:szCs w:val="24"/>
        </w:rPr>
        <w:t xml:space="preserve">droj: </w:t>
      </w:r>
      <w:r w:rsidR="00CF7DFE" w:rsidRPr="00CF7DFE">
        <w:rPr>
          <w:rFonts w:ascii="Arial" w:hAnsi="Arial" w:cs="Arial"/>
          <w:i/>
          <w:sz w:val="24"/>
          <w:szCs w:val="24"/>
        </w:rPr>
        <w:t>MPRV SR (2017</w:t>
      </w:r>
      <w:r w:rsidR="00CF7DFE">
        <w:rPr>
          <w:rFonts w:ascii="Arial" w:hAnsi="Arial" w:cs="Arial"/>
          <w:sz w:val="24"/>
          <w:szCs w:val="24"/>
        </w:rPr>
        <w:t>).</w:t>
      </w:r>
    </w:p>
    <w:p w:rsidR="00B30BD5" w:rsidRDefault="00FC1E29" w:rsidP="00E52D60">
      <w:pPr>
        <w:pStyle w:val="Odsekzoznamu"/>
        <w:numPr>
          <w:ilvl w:val="1"/>
          <w:numId w:val="20"/>
        </w:numPr>
        <w:spacing w:after="6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 </w:t>
      </w:r>
      <w:r w:rsidRPr="00FC1E29">
        <w:rPr>
          <w:rFonts w:ascii="Arial" w:hAnsi="Arial" w:cs="Arial"/>
          <w:sz w:val="24"/>
          <w:szCs w:val="24"/>
        </w:rPr>
        <w:t>zároveň je dôležité pre komplexný rozvoj</w:t>
      </w:r>
      <w:r>
        <w:rPr>
          <w:rFonts w:ascii="Arial" w:hAnsi="Arial" w:cs="Arial"/>
          <w:sz w:val="24"/>
          <w:szCs w:val="24"/>
        </w:rPr>
        <w:t xml:space="preserve"> výrobnej vertikály budovať aj priebežné menšie aj </w:t>
      </w:r>
      <w:r>
        <w:rPr>
          <w:rFonts w:ascii="Arial" w:hAnsi="Arial" w:cs="Arial"/>
          <w:b/>
          <w:sz w:val="24"/>
          <w:szCs w:val="24"/>
        </w:rPr>
        <w:t xml:space="preserve">väčšie </w:t>
      </w:r>
      <w:r w:rsidRPr="00FC1E29">
        <w:rPr>
          <w:rFonts w:ascii="Arial" w:hAnsi="Arial" w:cs="Arial"/>
          <w:b/>
          <w:sz w:val="24"/>
          <w:szCs w:val="24"/>
        </w:rPr>
        <w:t>sklady a</w:t>
      </w:r>
      <w:r>
        <w:rPr>
          <w:rFonts w:ascii="Arial" w:hAnsi="Arial" w:cs="Arial"/>
          <w:b/>
          <w:sz w:val="24"/>
          <w:szCs w:val="24"/>
        </w:rPr>
        <w:t xml:space="preserve"> kompletnú </w:t>
      </w:r>
      <w:r w:rsidRPr="00FC1E29">
        <w:rPr>
          <w:rFonts w:ascii="Arial" w:hAnsi="Arial" w:cs="Arial"/>
          <w:b/>
          <w:sz w:val="24"/>
          <w:szCs w:val="24"/>
        </w:rPr>
        <w:t>distribučnú sieť</w:t>
      </w:r>
      <w:r>
        <w:rPr>
          <w:rFonts w:ascii="Arial" w:hAnsi="Arial" w:cs="Arial"/>
          <w:sz w:val="24"/>
          <w:szCs w:val="24"/>
        </w:rPr>
        <w:t xml:space="preserve"> zacielenú na domáce potraviny. Podstatou je vybudovať čo najkratší obchodný reťazec od výrobcu po spotrebiteľa. Súčasťou tejto investície preto môže byť aj podpora odbytových organizácií výrobcov, v ktorých by spájali sily najmä menší domáci producenti kvalitných potravín.</w:t>
      </w:r>
    </w:p>
    <w:p w:rsidR="00112687" w:rsidRDefault="00112687" w:rsidP="00E52D60">
      <w:pPr>
        <w:pStyle w:val="Odsekzoznamu"/>
        <w:numPr>
          <w:ilvl w:val="1"/>
          <w:numId w:val="20"/>
        </w:numPr>
        <w:spacing w:after="6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Podľa IPP je potrebné identifikovať také investičné oblasti v rámci Spoločnej poľnohospodárskej politiky, ktoré je ekonomicky možné podporiť návratnými formami financovania alebo kombináciou návratného a nenávratného financovania.  </w:t>
      </w:r>
    </w:p>
    <w:p w:rsidR="00E52D60" w:rsidRDefault="0059567F" w:rsidP="00E52D60">
      <w:pPr>
        <w:pStyle w:val="Odsekzoznamu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2D60">
        <w:rPr>
          <w:rFonts w:ascii="Arial" w:hAnsi="Arial" w:cs="Arial"/>
          <w:b/>
          <w:sz w:val="24"/>
          <w:szCs w:val="24"/>
        </w:rPr>
        <w:lastRenderedPageBreak/>
        <w:t>Riadenie rizík</w:t>
      </w:r>
      <w:r>
        <w:rPr>
          <w:rFonts w:ascii="Arial" w:hAnsi="Arial" w:cs="Arial"/>
          <w:sz w:val="24"/>
          <w:szCs w:val="24"/>
        </w:rPr>
        <w:t xml:space="preserve"> („risk management“):</w:t>
      </w:r>
      <w:r w:rsidR="00E52D60">
        <w:rPr>
          <w:rFonts w:ascii="Arial" w:hAnsi="Arial" w:cs="Arial"/>
          <w:sz w:val="24"/>
          <w:szCs w:val="24"/>
        </w:rPr>
        <w:t xml:space="preserve"> </w:t>
      </w:r>
      <w:r w:rsidR="00F37D81">
        <w:rPr>
          <w:rFonts w:ascii="Arial" w:hAnsi="Arial" w:cs="Arial"/>
          <w:sz w:val="24"/>
          <w:szCs w:val="24"/>
        </w:rPr>
        <w:t>Podnikateľské r</w:t>
      </w:r>
      <w:r w:rsidR="00F37D81" w:rsidRPr="00E52D60">
        <w:rPr>
          <w:rFonts w:ascii="Arial" w:hAnsi="Arial" w:cs="Arial"/>
          <w:sz w:val="24"/>
          <w:szCs w:val="24"/>
        </w:rPr>
        <w:t>iziko v poľnohospodárstve je všeobecne väčšie ako v iných odvetviach národného hospodárstva.</w:t>
      </w:r>
      <w:r w:rsidR="00F37D81">
        <w:rPr>
          <w:rFonts w:ascii="Arial" w:hAnsi="Arial" w:cs="Arial"/>
          <w:sz w:val="24"/>
          <w:szCs w:val="24"/>
        </w:rPr>
        <w:t xml:space="preserve"> </w:t>
      </w:r>
      <w:r w:rsidR="00E52D60">
        <w:rPr>
          <w:rFonts w:ascii="Arial" w:hAnsi="Arial" w:cs="Arial"/>
          <w:sz w:val="24"/>
          <w:szCs w:val="24"/>
        </w:rPr>
        <w:t xml:space="preserve">IPP </w:t>
      </w:r>
      <w:r w:rsidR="00F37D81">
        <w:rPr>
          <w:rFonts w:ascii="Arial" w:hAnsi="Arial" w:cs="Arial"/>
          <w:sz w:val="24"/>
          <w:szCs w:val="24"/>
        </w:rPr>
        <w:t xml:space="preserve">odporúča </w:t>
      </w:r>
      <w:r w:rsidR="00E52D60">
        <w:rPr>
          <w:rFonts w:ascii="Arial" w:hAnsi="Arial" w:cs="Arial"/>
          <w:sz w:val="24"/>
          <w:szCs w:val="24"/>
        </w:rPr>
        <w:t xml:space="preserve">zaviesť systémové nástroje na podporu riadenia rizík, </w:t>
      </w:r>
      <w:r w:rsidR="00E52D60" w:rsidRPr="00E52D60">
        <w:rPr>
          <w:rFonts w:ascii="Arial" w:hAnsi="Arial" w:cs="Arial"/>
          <w:sz w:val="24"/>
          <w:szCs w:val="24"/>
        </w:rPr>
        <w:t xml:space="preserve">najmä prostredníctvom </w:t>
      </w:r>
      <w:r w:rsidR="00E52D60" w:rsidRPr="001C5B04">
        <w:rPr>
          <w:rFonts w:ascii="Arial" w:hAnsi="Arial" w:cs="Arial"/>
          <w:sz w:val="24"/>
          <w:szCs w:val="24"/>
          <w:u w:val="single"/>
        </w:rPr>
        <w:t>spolufinancovania kome</w:t>
      </w:r>
      <w:r w:rsidR="00F37D81" w:rsidRPr="001C5B04">
        <w:rPr>
          <w:rFonts w:ascii="Arial" w:hAnsi="Arial" w:cs="Arial"/>
          <w:sz w:val="24"/>
          <w:szCs w:val="24"/>
          <w:u w:val="single"/>
        </w:rPr>
        <w:t>rčného poistného</w:t>
      </w:r>
      <w:r w:rsidR="00F37D81">
        <w:rPr>
          <w:rFonts w:ascii="Arial" w:hAnsi="Arial" w:cs="Arial"/>
          <w:sz w:val="24"/>
          <w:szCs w:val="24"/>
        </w:rPr>
        <w:t xml:space="preserve">. </w:t>
      </w:r>
      <w:r w:rsidR="00E52D60">
        <w:rPr>
          <w:rFonts w:ascii="Arial" w:hAnsi="Arial" w:cs="Arial"/>
          <w:sz w:val="24"/>
          <w:szCs w:val="24"/>
        </w:rPr>
        <w:t>S príspevkom štátu</w:t>
      </w:r>
      <w:r w:rsidR="001C5B04">
        <w:rPr>
          <w:rFonts w:ascii="Arial" w:hAnsi="Arial" w:cs="Arial"/>
          <w:sz w:val="24"/>
          <w:szCs w:val="24"/>
        </w:rPr>
        <w:t xml:space="preserve"> a samotných farmárov</w:t>
      </w:r>
      <w:r w:rsidR="00E52D60">
        <w:rPr>
          <w:rFonts w:ascii="Arial" w:hAnsi="Arial" w:cs="Arial"/>
          <w:sz w:val="24"/>
          <w:szCs w:val="24"/>
        </w:rPr>
        <w:t xml:space="preserve"> by bolo možné</w:t>
      </w:r>
      <w:r w:rsidR="001C5B04">
        <w:rPr>
          <w:rFonts w:ascii="Arial" w:hAnsi="Arial" w:cs="Arial"/>
          <w:sz w:val="24"/>
          <w:szCs w:val="24"/>
        </w:rPr>
        <w:t xml:space="preserve"> vytvoriť </w:t>
      </w:r>
      <w:r w:rsidR="001C5B04" w:rsidRPr="001C5B04">
        <w:rPr>
          <w:rFonts w:ascii="Arial" w:hAnsi="Arial" w:cs="Arial"/>
          <w:sz w:val="24"/>
          <w:szCs w:val="24"/>
          <w:u w:val="single"/>
        </w:rPr>
        <w:t>fond pre</w:t>
      </w:r>
      <w:r w:rsidR="00E52D60" w:rsidRPr="001C5B04">
        <w:rPr>
          <w:rFonts w:ascii="Arial" w:hAnsi="Arial" w:cs="Arial"/>
          <w:sz w:val="24"/>
          <w:szCs w:val="24"/>
          <w:u w:val="single"/>
        </w:rPr>
        <w:t xml:space="preserve"> tzv. „</w:t>
      </w:r>
      <w:proofErr w:type="spellStart"/>
      <w:r w:rsidR="00E52D60" w:rsidRPr="001C5B04">
        <w:rPr>
          <w:rFonts w:ascii="Arial" w:hAnsi="Arial" w:cs="Arial"/>
          <w:sz w:val="24"/>
          <w:szCs w:val="24"/>
          <w:u w:val="single"/>
        </w:rPr>
        <w:t>nepoistiteľné</w:t>
      </w:r>
      <w:proofErr w:type="spellEnd"/>
      <w:r w:rsidR="00E52D60" w:rsidRPr="001C5B04">
        <w:rPr>
          <w:rFonts w:ascii="Arial" w:hAnsi="Arial" w:cs="Arial"/>
          <w:sz w:val="24"/>
          <w:szCs w:val="24"/>
          <w:u w:val="single"/>
        </w:rPr>
        <w:t>“ riziká</w:t>
      </w:r>
      <w:r w:rsidR="00E52D60">
        <w:rPr>
          <w:rFonts w:ascii="Arial" w:hAnsi="Arial" w:cs="Arial"/>
          <w:sz w:val="24"/>
          <w:szCs w:val="24"/>
        </w:rPr>
        <w:t xml:space="preserve">, </w:t>
      </w:r>
      <w:r w:rsidR="001C5B04">
        <w:rPr>
          <w:rFonts w:ascii="Arial" w:hAnsi="Arial" w:cs="Arial"/>
          <w:sz w:val="24"/>
          <w:szCs w:val="24"/>
        </w:rPr>
        <w:t xml:space="preserve">katastrofického rozsahu, </w:t>
      </w:r>
      <w:r w:rsidR="00E52D60">
        <w:rPr>
          <w:rFonts w:ascii="Arial" w:hAnsi="Arial" w:cs="Arial"/>
          <w:sz w:val="24"/>
          <w:szCs w:val="24"/>
        </w:rPr>
        <w:t>ktoré čoraz častejšie zasahujú lokálne a negatívne ovplyvňujú ekonomiku poľnohospodárskych podnikov.</w:t>
      </w:r>
      <w:r w:rsidR="001C5B04">
        <w:rPr>
          <w:rFonts w:ascii="Arial" w:hAnsi="Arial" w:cs="Arial"/>
          <w:sz w:val="24"/>
          <w:szCs w:val="24"/>
        </w:rPr>
        <w:t xml:space="preserve"> Prípadne by bolo lepšie vytvoriť poistný produkt na súkromnom trhu, ktorý by mohol štát dotovať. Dôležité je aj nastavenie obojstranne výhodných poistných podmienok a ich dodržiavanie zmluvnými stranami. </w:t>
      </w:r>
    </w:p>
    <w:p w:rsidR="00531AC5" w:rsidRPr="000D5166" w:rsidRDefault="00531AC5" w:rsidP="000D5166">
      <w:pPr>
        <w:pStyle w:val="Odsekzoznamu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31AC5">
        <w:rPr>
          <w:rFonts w:ascii="Arial" w:hAnsi="Arial" w:cs="Arial"/>
          <w:b/>
          <w:sz w:val="24"/>
          <w:szCs w:val="24"/>
        </w:rPr>
        <w:t>Mladí a začínajúci farmári</w:t>
      </w:r>
      <w:r>
        <w:rPr>
          <w:rFonts w:ascii="Arial" w:hAnsi="Arial" w:cs="Arial"/>
          <w:sz w:val="24"/>
          <w:szCs w:val="24"/>
        </w:rPr>
        <w:t>, „</w:t>
      </w:r>
      <w:proofErr w:type="spellStart"/>
      <w:r>
        <w:rPr>
          <w:rFonts w:ascii="Arial" w:hAnsi="Arial" w:cs="Arial"/>
          <w:sz w:val="24"/>
          <w:szCs w:val="24"/>
        </w:rPr>
        <w:t>start-upy</w:t>
      </w:r>
      <w:proofErr w:type="spellEnd"/>
      <w:r>
        <w:rPr>
          <w:rFonts w:ascii="Arial" w:hAnsi="Arial" w:cs="Arial"/>
          <w:sz w:val="24"/>
          <w:szCs w:val="24"/>
        </w:rPr>
        <w:t>“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zakladacie projekty)</w:t>
      </w:r>
      <w:r w:rsidR="001F0CF8">
        <w:rPr>
          <w:rFonts w:ascii="Arial" w:hAnsi="Arial" w:cs="Arial"/>
          <w:sz w:val="24"/>
          <w:szCs w:val="24"/>
        </w:rPr>
        <w:t>:</w:t>
      </w:r>
      <w:r w:rsidR="000D5166">
        <w:rPr>
          <w:rFonts w:ascii="Arial" w:hAnsi="Arial" w:cs="Arial"/>
          <w:sz w:val="24"/>
          <w:szCs w:val="24"/>
        </w:rPr>
        <w:t xml:space="preserve"> </w:t>
      </w:r>
      <w:r w:rsidRPr="000D5166">
        <w:rPr>
          <w:rFonts w:ascii="Arial" w:hAnsi="Arial" w:cs="Arial"/>
          <w:sz w:val="24"/>
          <w:szCs w:val="24"/>
        </w:rPr>
        <w:t>zamestnanosť v poľnohospodárstve na Slovensku je veľmi nízka a naďalej klesá. Navyše máme nízky podiel zamestnancov vo vekovej kategórii do 24 rokov a vysoký podiel pracovníkov nad 50 rokov (</w:t>
      </w:r>
      <w:r w:rsidRPr="000D5166">
        <w:rPr>
          <w:rFonts w:ascii="Arial" w:hAnsi="Arial" w:cs="Arial"/>
          <w:i/>
          <w:sz w:val="24"/>
          <w:szCs w:val="24"/>
        </w:rPr>
        <w:t>pozn. priemerný vek je 47 r.</w:t>
      </w:r>
      <w:r w:rsidRPr="000D5166">
        <w:rPr>
          <w:rFonts w:ascii="Arial" w:hAnsi="Arial" w:cs="Arial"/>
          <w:sz w:val="24"/>
          <w:szCs w:val="24"/>
        </w:rPr>
        <w:t>). V rámci PRV je nevyhnutné podporiť kapitálovo nízko vybavené farmy, ktoré majú problém získať úvery na komerčnom a farmy s</w:t>
      </w:r>
      <w:r w:rsidR="001F0CF8" w:rsidRPr="000D5166">
        <w:rPr>
          <w:rFonts w:ascii="Arial" w:hAnsi="Arial" w:cs="Arial"/>
          <w:sz w:val="24"/>
          <w:szCs w:val="24"/>
        </w:rPr>
        <w:t>chopné tvoriť vyššiu</w:t>
      </w:r>
      <w:r w:rsidRPr="000D5166">
        <w:rPr>
          <w:rFonts w:ascii="Arial" w:hAnsi="Arial" w:cs="Arial"/>
          <w:sz w:val="24"/>
          <w:szCs w:val="24"/>
        </w:rPr>
        <w:t xml:space="preserve"> </w:t>
      </w:r>
      <w:r w:rsidR="001F0CF8" w:rsidRPr="000D5166">
        <w:rPr>
          <w:rFonts w:ascii="Arial" w:hAnsi="Arial" w:cs="Arial"/>
          <w:sz w:val="24"/>
          <w:szCs w:val="24"/>
        </w:rPr>
        <w:t>pridanú hodnot</w:t>
      </w:r>
      <w:r w:rsidRPr="000D5166">
        <w:rPr>
          <w:rFonts w:ascii="Arial" w:hAnsi="Arial" w:cs="Arial"/>
          <w:sz w:val="24"/>
          <w:szCs w:val="24"/>
        </w:rPr>
        <w:t>u</w:t>
      </w:r>
      <w:r w:rsidR="001F0CF8" w:rsidRPr="000D5166">
        <w:rPr>
          <w:rFonts w:ascii="Arial" w:hAnsi="Arial" w:cs="Arial"/>
          <w:sz w:val="24"/>
          <w:szCs w:val="24"/>
        </w:rPr>
        <w:t xml:space="preserve"> trhu (</w:t>
      </w:r>
      <w:r w:rsidR="001F0CF8" w:rsidRPr="000D5166">
        <w:rPr>
          <w:rFonts w:ascii="Arial" w:hAnsi="Arial" w:cs="Arial"/>
          <w:sz w:val="24"/>
          <w:szCs w:val="24"/>
          <w:u w:val="single"/>
        </w:rPr>
        <w:t>mladí a rodinné farmy</w:t>
      </w:r>
      <w:r w:rsidR="001F0CF8" w:rsidRPr="000D5166">
        <w:rPr>
          <w:rFonts w:ascii="Arial" w:hAnsi="Arial" w:cs="Arial"/>
          <w:sz w:val="24"/>
          <w:szCs w:val="24"/>
        </w:rPr>
        <w:t>)</w:t>
      </w:r>
      <w:r w:rsidRPr="000D5166">
        <w:rPr>
          <w:rFonts w:ascii="Arial" w:hAnsi="Arial" w:cs="Arial"/>
          <w:sz w:val="24"/>
          <w:szCs w:val="24"/>
        </w:rPr>
        <w:t>.</w:t>
      </w:r>
      <w:r w:rsidR="00CC4BD4">
        <w:rPr>
          <w:rFonts w:ascii="Arial" w:hAnsi="Arial" w:cs="Arial"/>
          <w:sz w:val="24"/>
          <w:szCs w:val="24"/>
        </w:rPr>
        <w:t xml:space="preserve"> IPP navrhuje dosiahnuť efektívnejšiu podporu mladých začínajúcich farmárov týmito spôsobmi:</w:t>
      </w:r>
    </w:p>
    <w:p w:rsidR="001F0CF8" w:rsidRDefault="00CC4BD4" w:rsidP="001F0CF8">
      <w:pPr>
        <w:pStyle w:val="Odsekzoznamu"/>
        <w:numPr>
          <w:ilvl w:val="1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Zvýšiť hektárovú hranicu pre podporu mladých poľnohospodárov prostredníctvom priamych platieb</w:t>
      </w:r>
      <w:r w:rsidR="002115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11571">
        <w:rPr>
          <w:rFonts w:ascii="Arial" w:hAnsi="Arial" w:cs="Arial"/>
          <w:sz w:val="24"/>
          <w:szCs w:val="24"/>
        </w:rPr>
        <w:t>t.j</w:t>
      </w:r>
      <w:proofErr w:type="spellEnd"/>
      <w:r w:rsidR="00211571">
        <w:rPr>
          <w:rFonts w:ascii="Arial" w:hAnsi="Arial" w:cs="Arial"/>
          <w:sz w:val="24"/>
          <w:szCs w:val="24"/>
        </w:rPr>
        <w:t>. na 100 ha, ako vo väčšine európskych štátov)</w:t>
      </w:r>
    </w:p>
    <w:p w:rsidR="00CC4BD4" w:rsidRDefault="00CC4BD4" w:rsidP="001F0CF8">
      <w:pPr>
        <w:pStyle w:val="Odsekzoznamu"/>
        <w:numPr>
          <w:ilvl w:val="1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podporiť investície mladých poľnohospodárov v rámci PRV prostredníctvom bodového zvýhodnenia a formou nastavenia vhodných typov výziev a veľkostí projektov</w:t>
      </w:r>
    </w:p>
    <w:p w:rsidR="00CC4BD4" w:rsidRDefault="00CC4BD4" w:rsidP="001F0CF8">
      <w:pPr>
        <w:pStyle w:val="Odsekzoznamu"/>
        <w:numPr>
          <w:ilvl w:val="1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zvýšiť maximálnu podporu pre mladého poľnohospodára a začatie podnikania</w:t>
      </w:r>
      <w:r w:rsidR="00211571">
        <w:rPr>
          <w:rFonts w:ascii="Arial" w:hAnsi="Arial" w:cs="Arial"/>
          <w:sz w:val="24"/>
          <w:szCs w:val="24"/>
        </w:rPr>
        <w:t xml:space="preserve"> (max. 100 000 euro)</w:t>
      </w:r>
    </w:p>
    <w:p w:rsidR="00CC4BD4" w:rsidRDefault="00CC4BD4" w:rsidP="001F0CF8">
      <w:pPr>
        <w:pStyle w:val="Odsekzoznamu"/>
        <w:numPr>
          <w:ilvl w:val="1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zvýšiť frekvenciu a pravidelnosť výziev pre mladých poľnohospodárov v rámci projektových opatrení PRV</w:t>
      </w:r>
      <w:r w:rsidR="00211571">
        <w:rPr>
          <w:rFonts w:ascii="Arial" w:hAnsi="Arial" w:cs="Arial"/>
          <w:sz w:val="24"/>
          <w:szCs w:val="24"/>
        </w:rPr>
        <w:t xml:space="preserve"> (napr. každoročne  k 30.6.)</w:t>
      </w:r>
    </w:p>
    <w:p w:rsidR="00CC4BD4" w:rsidRPr="00531AC5" w:rsidRDefault="00CC4BD4" w:rsidP="001F0CF8">
      <w:pPr>
        <w:pStyle w:val="Odsekzoznamu"/>
        <w:numPr>
          <w:ilvl w:val="1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zvýšiť účasť poľnohospodárov, vrátane mladých, na vzdelávacích aktivitách.</w:t>
      </w:r>
    </w:p>
    <w:p w:rsidR="00531AC5" w:rsidRDefault="00531AC5" w:rsidP="00531AC5">
      <w:pPr>
        <w:pStyle w:val="Odsekzoznamu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31AC5">
        <w:rPr>
          <w:rFonts w:ascii="Arial" w:hAnsi="Arial" w:cs="Arial"/>
          <w:b/>
          <w:sz w:val="24"/>
          <w:szCs w:val="24"/>
        </w:rPr>
        <w:t>Systém prenosu vedomostí a inovácií v poľnohospodárstve</w:t>
      </w:r>
      <w:r>
        <w:rPr>
          <w:rFonts w:ascii="Arial" w:hAnsi="Arial" w:cs="Arial"/>
          <w:sz w:val="24"/>
          <w:szCs w:val="24"/>
        </w:rPr>
        <w:t xml:space="preserve"> (tzv. </w:t>
      </w:r>
      <w:r w:rsidRPr="0059567F">
        <w:rPr>
          <w:rFonts w:ascii="Arial" w:hAnsi="Arial" w:cs="Arial"/>
          <w:i/>
          <w:sz w:val="24"/>
          <w:szCs w:val="24"/>
        </w:rPr>
        <w:t xml:space="preserve">„AKIS“ z anglického </w:t>
      </w:r>
      <w:r>
        <w:rPr>
          <w:rFonts w:ascii="Arial" w:hAnsi="Arial" w:cs="Arial"/>
          <w:i/>
          <w:sz w:val="24"/>
          <w:szCs w:val="24"/>
        </w:rPr>
        <w:t>„</w:t>
      </w:r>
      <w:proofErr w:type="spellStart"/>
      <w:r w:rsidRPr="0059567F">
        <w:rPr>
          <w:rFonts w:ascii="Arial" w:hAnsi="Arial" w:cs="Arial"/>
          <w:i/>
          <w:sz w:val="24"/>
          <w:szCs w:val="24"/>
        </w:rPr>
        <w:t>Agricultural</w:t>
      </w:r>
      <w:proofErr w:type="spellEnd"/>
      <w:r w:rsidRPr="005956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9567F">
        <w:rPr>
          <w:rFonts w:ascii="Arial" w:hAnsi="Arial" w:cs="Arial"/>
          <w:i/>
          <w:sz w:val="24"/>
          <w:szCs w:val="24"/>
        </w:rPr>
        <w:t>Knowledge</w:t>
      </w:r>
      <w:proofErr w:type="spellEnd"/>
      <w:r w:rsidRPr="0059567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and </w:t>
      </w:r>
      <w:proofErr w:type="spellStart"/>
      <w:r w:rsidRPr="0059567F">
        <w:rPr>
          <w:rFonts w:ascii="Arial" w:hAnsi="Arial" w:cs="Arial"/>
          <w:i/>
          <w:sz w:val="24"/>
          <w:szCs w:val="24"/>
        </w:rPr>
        <w:t>Innovation</w:t>
      </w:r>
      <w:proofErr w:type="spellEnd"/>
      <w:r w:rsidRPr="0059567F">
        <w:rPr>
          <w:rFonts w:ascii="Arial" w:hAnsi="Arial" w:cs="Arial"/>
          <w:i/>
          <w:sz w:val="24"/>
          <w:szCs w:val="24"/>
        </w:rPr>
        <w:t xml:space="preserve"> Systems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) – medzi výskumníkmi, poradcami, pracovníkmi na vidieku. </w:t>
      </w:r>
      <w:r w:rsidR="00525014">
        <w:rPr>
          <w:rFonts w:ascii="Arial" w:hAnsi="Arial" w:cs="Arial"/>
          <w:sz w:val="24"/>
          <w:szCs w:val="24"/>
        </w:rPr>
        <w:t>Zároveň bude veľmi dôležité zaviesť kvalitný poradenský systém pre poľnohospodárov, založený na skúsených poradcoch s certifikátom o vzdelaní. Jednou z významným súčastí prenosu vedomostí a skúseností bude aj medzigeneračná spolupráca. Podporiť by sa mali aj projekty pre modernizáciu a digitalizáciu procesu poľnohospodárskej výroby, kde má významnú príležitosť hlavne mladá generácia farmárov.</w:t>
      </w:r>
    </w:p>
    <w:p w:rsidR="00E52D60" w:rsidRDefault="007517E1" w:rsidP="00531AC5">
      <w:pPr>
        <w:pStyle w:val="Odsekzoznamu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517E1">
        <w:rPr>
          <w:rFonts w:ascii="Arial" w:hAnsi="Arial" w:cs="Arial"/>
          <w:b/>
          <w:sz w:val="24"/>
          <w:szCs w:val="24"/>
        </w:rPr>
        <w:t>Spolupráca a synergické efekty</w:t>
      </w:r>
      <w:r>
        <w:rPr>
          <w:rFonts w:ascii="Arial" w:hAnsi="Arial" w:cs="Arial"/>
          <w:sz w:val="24"/>
          <w:szCs w:val="24"/>
        </w:rPr>
        <w:t xml:space="preserve">: </w:t>
      </w:r>
      <w:r w:rsidR="00242CAE">
        <w:rPr>
          <w:rFonts w:ascii="Arial" w:hAnsi="Arial" w:cs="Arial"/>
          <w:sz w:val="24"/>
          <w:szCs w:val="24"/>
        </w:rPr>
        <w:t xml:space="preserve">spolupráca v rámci organizácií výrobcov s finančnou podporou by mohla vylepšiť vyjednávaciu pozíciu výrobcov v konkurencii na trhu. </w:t>
      </w:r>
      <w:r w:rsidR="002F305A">
        <w:rPr>
          <w:rFonts w:ascii="Arial" w:hAnsi="Arial" w:cs="Arial"/>
          <w:sz w:val="24"/>
          <w:szCs w:val="24"/>
        </w:rPr>
        <w:t>Žiadané by mali byť tiež projekty spolupráce subjektov v určitej komunite na vidieku, v ktorých je možné prepoji</w:t>
      </w:r>
      <w:r w:rsidR="000E1E4F">
        <w:rPr>
          <w:rFonts w:ascii="Arial" w:hAnsi="Arial" w:cs="Arial"/>
          <w:sz w:val="24"/>
          <w:szCs w:val="24"/>
        </w:rPr>
        <w:t xml:space="preserve">ť výrobu, spracovanie, predaj produktov so vzdelávaním, kultúrou, tradíciami, remeslami, cestovným ruchom, apod. </w:t>
      </w:r>
      <w:r w:rsidR="00112687">
        <w:rPr>
          <w:rFonts w:ascii="Arial" w:hAnsi="Arial" w:cs="Arial"/>
          <w:sz w:val="24"/>
          <w:szCs w:val="24"/>
        </w:rPr>
        <w:t>Určitý pozitívny synergický efekt by mohli priniesť projekty na spoluprácu napr. vo forme spoločných „dvorov služieb“ so strojovým a technickým vybavením pre menších farmárov (tzv. „zdieľaná ekonomika“).</w:t>
      </w:r>
      <w:r w:rsidR="002F305A">
        <w:rPr>
          <w:rFonts w:ascii="Arial" w:hAnsi="Arial" w:cs="Arial"/>
          <w:sz w:val="24"/>
          <w:szCs w:val="24"/>
        </w:rPr>
        <w:t xml:space="preserve"> </w:t>
      </w:r>
    </w:p>
    <w:p w:rsidR="007517E1" w:rsidRDefault="00525014" w:rsidP="00531AC5">
      <w:pPr>
        <w:pStyle w:val="Odsekzoznamu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25014">
        <w:rPr>
          <w:rFonts w:ascii="Arial" w:hAnsi="Arial" w:cs="Arial"/>
          <w:b/>
          <w:sz w:val="24"/>
          <w:szCs w:val="24"/>
        </w:rPr>
        <w:t>Podpora ekologickej produkcie</w:t>
      </w:r>
      <w:r>
        <w:rPr>
          <w:rFonts w:ascii="Arial" w:hAnsi="Arial" w:cs="Arial"/>
          <w:sz w:val="24"/>
          <w:szCs w:val="24"/>
        </w:rPr>
        <w:t xml:space="preserve">: </w:t>
      </w:r>
      <w:r w:rsidR="000E1E4F">
        <w:rPr>
          <w:rFonts w:ascii="Arial" w:hAnsi="Arial" w:cs="Arial"/>
          <w:sz w:val="24"/>
          <w:szCs w:val="24"/>
        </w:rPr>
        <w:t>v súčasnosti sa na Slovensku podporuje sedem typov plôch s výmerou asi 157 tis. ha v ekologickom poľnohospodárstve. Dominujú trvalé trávne porasty</w:t>
      </w:r>
      <w:r w:rsidR="00FC7D24">
        <w:rPr>
          <w:rFonts w:ascii="Arial" w:hAnsi="Arial" w:cs="Arial"/>
          <w:sz w:val="24"/>
          <w:szCs w:val="24"/>
        </w:rPr>
        <w:t xml:space="preserve"> (TTP, až 66%)</w:t>
      </w:r>
      <w:r w:rsidR="000E1E4F">
        <w:rPr>
          <w:rFonts w:ascii="Arial" w:hAnsi="Arial" w:cs="Arial"/>
          <w:sz w:val="24"/>
          <w:szCs w:val="24"/>
        </w:rPr>
        <w:t>, no prepojenie na živočíšnu výrobu nie je zabezpečené. Ekologické poľnohospodárstvo má potenciál zvýšiť zamestnanosť na vidieku a prinášať vyššiu pridanú hodnotu.</w:t>
      </w:r>
      <w:r w:rsidR="00A766A0">
        <w:rPr>
          <w:rFonts w:ascii="Arial" w:hAnsi="Arial" w:cs="Arial"/>
          <w:sz w:val="24"/>
          <w:szCs w:val="24"/>
        </w:rPr>
        <w:t xml:space="preserve"> Odporúča sa preto postupné navýšenie minimá</w:t>
      </w:r>
      <w:r w:rsidR="00FC7D24">
        <w:rPr>
          <w:rFonts w:ascii="Arial" w:hAnsi="Arial" w:cs="Arial"/>
          <w:sz w:val="24"/>
          <w:szCs w:val="24"/>
        </w:rPr>
        <w:t xml:space="preserve">lneho zaťaženia TTP zvieratami (zo súčasných 0,3 DJ/ha na 0,5 DJ/ha). </w:t>
      </w:r>
      <w:r w:rsidR="00A766A0">
        <w:rPr>
          <w:rFonts w:ascii="Arial" w:hAnsi="Arial" w:cs="Arial"/>
          <w:sz w:val="24"/>
          <w:szCs w:val="24"/>
        </w:rPr>
        <w:t xml:space="preserve">A tiež plošné hodnotenie environmentálnych dopadov </w:t>
      </w:r>
      <w:r w:rsidR="00FC7D24">
        <w:rPr>
          <w:rFonts w:ascii="Arial" w:hAnsi="Arial" w:cs="Arial"/>
          <w:sz w:val="24"/>
          <w:szCs w:val="24"/>
        </w:rPr>
        <w:t>ekologického poľnohospodárstva (merateľné ukazovatele).</w:t>
      </w:r>
    </w:p>
    <w:p w:rsidR="00FC7D24" w:rsidRPr="00FC7D24" w:rsidRDefault="00FC7D24" w:rsidP="00FC7D24">
      <w:pPr>
        <w:pStyle w:val="Odsekzoznamu"/>
        <w:spacing w:after="6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 w:rsidRPr="00FC7D24">
        <w:rPr>
          <w:rFonts w:ascii="Arial" w:hAnsi="Arial" w:cs="Arial"/>
          <w:sz w:val="24"/>
          <w:szCs w:val="24"/>
        </w:rPr>
        <w:t xml:space="preserve">Pre Slovensko je dôležité uvoľniť </w:t>
      </w:r>
      <w:r>
        <w:rPr>
          <w:rFonts w:ascii="Arial" w:hAnsi="Arial" w:cs="Arial"/>
          <w:sz w:val="24"/>
          <w:szCs w:val="24"/>
        </w:rPr>
        <w:t>aj pravidlá „predaja z dvora“, ktoré sú v súčasnosti príliš limitované, v porovnaní s okolitými krajinami. Cieľom by malo byť podporiť miestnych výrobcov kvalitných potravín a originálnych produktov. Bolo by žiadúce, okrem produktov živočíšnej výroby, zamerať sa aj na ekologickú výrobu zeleniny a ovocia, či liečivých bylín a</w:t>
      </w:r>
      <w:r w:rsidR="004D32E8">
        <w:rPr>
          <w:rFonts w:ascii="Arial" w:hAnsi="Arial" w:cs="Arial"/>
          <w:sz w:val="24"/>
          <w:szCs w:val="24"/>
        </w:rPr>
        <w:t> korenín.</w:t>
      </w:r>
    </w:p>
    <w:p w:rsidR="005D51FF" w:rsidRDefault="003C64F2" w:rsidP="003C64F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Aká je perspektíva pre pestovateľov obilnín v tomto kontexte? Bude sa produkcia obilia na Slovensku nejako podporovať, alebo môžeme očakávať skôr jej pokles? Budú ešte obilniny patriť medzi komodity, ktorých trh je organizovaný v rámci Spoločnej poľnohospodárskej politiky? </w:t>
      </w:r>
      <w:r w:rsidR="005D3589">
        <w:rPr>
          <w:rFonts w:ascii="Arial" w:hAnsi="Arial" w:cs="Arial"/>
          <w:sz w:val="24"/>
          <w:szCs w:val="24"/>
        </w:rPr>
        <w:t xml:space="preserve">O tom si povieme viac nabudúce... </w:t>
      </w:r>
      <w:r w:rsidR="005D3589" w:rsidRPr="005D3589">
        <w:rPr>
          <w:rFonts w:ascii="Arial" w:hAnsi="Arial" w:cs="Arial"/>
          <w:sz w:val="24"/>
          <w:szCs w:val="24"/>
        </w:rPr>
        <w:sym w:font="Wingdings" w:char="F04A"/>
      </w:r>
    </w:p>
    <w:p w:rsidR="002D5A63" w:rsidRDefault="002D5A63" w:rsidP="00A06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A35" w:rsidRDefault="00B67A35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0E6" w:rsidRDefault="00EA10E6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B67A35" w:rsidRPr="00E05B88" w:rsidRDefault="009A3BA8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05B88">
        <w:rPr>
          <w:rFonts w:ascii="Arial" w:hAnsi="Arial" w:cs="Arial"/>
          <w:i/>
          <w:sz w:val="24"/>
          <w:szCs w:val="24"/>
          <w:u w:val="single"/>
        </w:rPr>
        <w:t>SERIÁL obsahuje</w:t>
      </w:r>
      <w:r w:rsidR="00E05B88" w:rsidRPr="00E05B88">
        <w:rPr>
          <w:rFonts w:ascii="Arial" w:hAnsi="Arial" w:cs="Arial"/>
          <w:i/>
          <w:sz w:val="24"/>
          <w:szCs w:val="24"/>
          <w:u w:val="single"/>
        </w:rPr>
        <w:t xml:space="preserve"> tieto témy, ktoré budeme prinášať v týždňových intervaloch na našej stránke:</w:t>
      </w:r>
      <w:r w:rsidR="00B67A35" w:rsidRPr="00E05B88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5615" w:rsidRPr="00AD266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D2669">
        <w:rPr>
          <w:rFonts w:ascii="Arial" w:hAnsi="Arial" w:cs="Arial"/>
          <w:b/>
          <w:i/>
          <w:sz w:val="24"/>
          <w:szCs w:val="24"/>
        </w:rPr>
        <w:t>Čo to je SPP EÚ a prečo sa mení?</w:t>
      </w:r>
    </w:p>
    <w:p w:rsidR="00F45615" w:rsidRPr="000F672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0F6729">
        <w:rPr>
          <w:rFonts w:ascii="Arial" w:hAnsi="Arial" w:cs="Arial"/>
          <w:b/>
          <w:i/>
          <w:sz w:val="24"/>
          <w:szCs w:val="24"/>
        </w:rPr>
        <w:t>9 hlavných cieľov SPP po 2021</w:t>
      </w:r>
    </w:p>
    <w:p w:rsidR="00F45615" w:rsidRPr="003C501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C501D">
        <w:rPr>
          <w:rFonts w:ascii="Arial" w:hAnsi="Arial" w:cs="Arial"/>
          <w:b/>
          <w:i/>
          <w:sz w:val="24"/>
          <w:szCs w:val="24"/>
        </w:rPr>
        <w:t>Zelená architektúra budúcej SPP</w:t>
      </w:r>
    </w:p>
    <w:p w:rsidR="00F45615" w:rsidRPr="00ED3F30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ED3F30">
        <w:rPr>
          <w:rFonts w:ascii="Arial" w:hAnsi="Arial" w:cs="Arial"/>
          <w:b/>
          <w:i/>
          <w:sz w:val="24"/>
          <w:szCs w:val="24"/>
        </w:rPr>
        <w:t>Finančný rámec pre EÚ a SR</w:t>
      </w:r>
    </w:p>
    <w:p w:rsidR="00F45615" w:rsidRPr="00A06F3A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06F3A">
        <w:rPr>
          <w:rFonts w:ascii="Arial" w:hAnsi="Arial" w:cs="Arial"/>
          <w:b/>
          <w:i/>
          <w:sz w:val="24"/>
          <w:szCs w:val="24"/>
        </w:rPr>
        <w:t>Hlavné priame podpory I. piliera</w:t>
      </w:r>
    </w:p>
    <w:p w:rsidR="00F45615" w:rsidRPr="007F0BC6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7F0BC6">
        <w:rPr>
          <w:rFonts w:ascii="Arial" w:hAnsi="Arial" w:cs="Arial"/>
          <w:b/>
          <w:i/>
          <w:sz w:val="24"/>
          <w:szCs w:val="24"/>
        </w:rPr>
        <w:t>Opatrenia II. piliera na rozvoj vidieka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Spoločná organizácia trhu s obilninami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Otvorené otázky (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stropovanie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redistribúcia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>, definícia aktívneho farmára, atď.)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Časový rámec a očakávané kroky</w:t>
      </w:r>
    </w:p>
    <w:p w:rsidR="00CC4BB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Prechodné obdobie a najbližšie roky</w:t>
      </w:r>
    </w:p>
    <w:p w:rsidR="00370DFB" w:rsidRPr="00370DFB" w:rsidRDefault="00370DFB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70DFB">
        <w:rPr>
          <w:rFonts w:ascii="Arial" w:hAnsi="Arial" w:cs="Arial"/>
          <w:i/>
          <w:sz w:val="24"/>
          <w:szCs w:val="24"/>
        </w:rPr>
        <w:t xml:space="preserve">Spracovala: Ing. Vladimíra Debnárová, výkonná tajomníčka Združenia </w:t>
      </w:r>
      <w:r w:rsidR="003C64F2">
        <w:rPr>
          <w:rFonts w:ascii="Arial" w:hAnsi="Arial" w:cs="Arial"/>
          <w:i/>
          <w:sz w:val="24"/>
          <w:szCs w:val="24"/>
        </w:rPr>
        <w:t>pestovateľov obilnín, 3</w:t>
      </w:r>
      <w:r w:rsidR="007F0BC6">
        <w:rPr>
          <w:rFonts w:ascii="Arial" w:hAnsi="Arial" w:cs="Arial"/>
          <w:i/>
          <w:sz w:val="24"/>
          <w:szCs w:val="24"/>
        </w:rPr>
        <w:t>.12</w:t>
      </w:r>
      <w:r>
        <w:rPr>
          <w:rFonts w:ascii="Arial" w:hAnsi="Arial" w:cs="Arial"/>
          <w:i/>
          <w:sz w:val="24"/>
          <w:szCs w:val="24"/>
        </w:rPr>
        <w:t>.</w:t>
      </w:r>
      <w:r w:rsidRPr="00370DFB">
        <w:rPr>
          <w:rFonts w:ascii="Arial" w:hAnsi="Arial" w:cs="Arial"/>
          <w:i/>
          <w:sz w:val="24"/>
          <w:szCs w:val="24"/>
        </w:rPr>
        <w:t xml:space="preserve"> 2019.</w:t>
      </w:r>
    </w:p>
    <w:p w:rsidR="00370DFB" w:rsidRDefault="00370DFB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</w:p>
    <w:p w:rsidR="00370DFB" w:rsidRPr="00370DFB" w:rsidRDefault="00ED3F30" w:rsidP="00370DFB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Ak sa Vám páči naša práca a chcete </w:t>
      </w:r>
      <w:r w:rsidR="0061205A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nás podporiť, staňte sa</w:t>
      </w: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členom</w:t>
      </w:r>
      <w:r w:rsidR="0061205A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Združenia pestovateľov obilnín -</w:t>
      </w: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pošlite nám čo najskôr svoju </w:t>
      </w:r>
      <w:r w:rsidRPr="0075567C">
        <w:rPr>
          <w:rFonts w:ascii="Arial" w:hAnsi="Arial" w:cs="Arial"/>
          <w:b/>
          <w:i/>
          <w:color w:val="002060"/>
          <w:sz w:val="24"/>
          <w:szCs w:val="24"/>
        </w:rPr>
        <w:t>prihlášku za člena</w:t>
      </w:r>
      <w:r w:rsidR="0075567C">
        <w:rPr>
          <w:rFonts w:ascii="Arial" w:hAnsi="Arial" w:cs="Arial"/>
          <w:b/>
          <w:i/>
          <w:color w:val="002060"/>
          <w:sz w:val="24"/>
          <w:szCs w:val="24"/>
        </w:rPr>
        <w:t xml:space="preserve"> ZPO</w:t>
      </w: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.</w:t>
      </w:r>
      <w:r w:rsidR="0075567C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Vopred ď</w:t>
      </w:r>
      <w:r w:rsidR="00370DFB" w:rsidRPr="00370DFB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akujeme!</w:t>
      </w:r>
    </w:p>
    <w:p w:rsidR="00370DFB" w:rsidRPr="00370DFB" w:rsidRDefault="00370DFB" w:rsidP="00370DFB">
      <w:pPr>
        <w:spacing w:line="256" w:lineRule="auto"/>
        <w:ind w:left="360"/>
        <w:rPr>
          <w:rFonts w:ascii="Arial" w:hAnsi="Arial" w:cs="Arial"/>
          <w:i/>
          <w:sz w:val="24"/>
          <w:szCs w:val="24"/>
        </w:rPr>
      </w:pPr>
    </w:p>
    <w:sectPr w:rsidR="00370DFB" w:rsidRPr="00370DFB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1045"/>
    <w:multiLevelType w:val="hybridMultilevel"/>
    <w:tmpl w:val="5B0E8356"/>
    <w:lvl w:ilvl="0" w:tplc="595A44F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3242"/>
    <w:multiLevelType w:val="hybridMultilevel"/>
    <w:tmpl w:val="B65675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858"/>
    <w:multiLevelType w:val="hybridMultilevel"/>
    <w:tmpl w:val="1E8A19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C04"/>
    <w:multiLevelType w:val="multilevel"/>
    <w:tmpl w:val="DF5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16086"/>
    <w:multiLevelType w:val="hybridMultilevel"/>
    <w:tmpl w:val="6FF8FB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720"/>
    <w:multiLevelType w:val="hybridMultilevel"/>
    <w:tmpl w:val="F2B47378"/>
    <w:lvl w:ilvl="0" w:tplc="F48C2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E25"/>
    <w:multiLevelType w:val="hybridMultilevel"/>
    <w:tmpl w:val="0972A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41A"/>
    <w:multiLevelType w:val="hybridMultilevel"/>
    <w:tmpl w:val="C784B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2163"/>
    <w:multiLevelType w:val="hybridMultilevel"/>
    <w:tmpl w:val="56E2A860"/>
    <w:lvl w:ilvl="0" w:tplc="FBF80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D0583"/>
    <w:multiLevelType w:val="hybridMultilevel"/>
    <w:tmpl w:val="A6EC1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200A2"/>
    <w:multiLevelType w:val="hybridMultilevel"/>
    <w:tmpl w:val="2D44092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F0A"/>
    <w:multiLevelType w:val="hybridMultilevel"/>
    <w:tmpl w:val="F1E8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15A1"/>
    <w:multiLevelType w:val="hybridMultilevel"/>
    <w:tmpl w:val="36826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62432"/>
    <w:multiLevelType w:val="hybridMultilevel"/>
    <w:tmpl w:val="D918EF5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5B37"/>
    <w:multiLevelType w:val="hybridMultilevel"/>
    <w:tmpl w:val="255C84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665F3"/>
    <w:multiLevelType w:val="hybridMultilevel"/>
    <w:tmpl w:val="47C48F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365C1"/>
    <w:multiLevelType w:val="hybridMultilevel"/>
    <w:tmpl w:val="88CA4B0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649C0"/>
    <w:multiLevelType w:val="hybridMultilevel"/>
    <w:tmpl w:val="3322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C6BDE"/>
    <w:multiLevelType w:val="hybridMultilevel"/>
    <w:tmpl w:val="D7E61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10C13"/>
    <w:multiLevelType w:val="hybridMultilevel"/>
    <w:tmpl w:val="E964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3246A"/>
    <w:multiLevelType w:val="hybridMultilevel"/>
    <w:tmpl w:val="4AA2B62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32E13"/>
    <w:multiLevelType w:val="multilevel"/>
    <w:tmpl w:val="8B4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7"/>
  </w:num>
  <w:num w:numId="7">
    <w:abstractNumId w:val="19"/>
  </w:num>
  <w:num w:numId="8">
    <w:abstractNumId w:val="4"/>
  </w:num>
  <w:num w:numId="9">
    <w:abstractNumId w:val="1"/>
  </w:num>
  <w:num w:numId="10">
    <w:abstractNumId w:val="2"/>
  </w:num>
  <w:num w:numId="11">
    <w:abstractNumId w:val="20"/>
  </w:num>
  <w:num w:numId="12">
    <w:abstractNumId w:val="10"/>
  </w:num>
  <w:num w:numId="13">
    <w:abstractNumId w:val="18"/>
  </w:num>
  <w:num w:numId="14">
    <w:abstractNumId w:val="13"/>
  </w:num>
  <w:num w:numId="15">
    <w:abstractNumId w:val="0"/>
  </w:num>
  <w:num w:numId="16">
    <w:abstractNumId w:val="21"/>
  </w:num>
  <w:num w:numId="17">
    <w:abstractNumId w:val="3"/>
  </w:num>
  <w:num w:numId="18">
    <w:abstractNumId w:val="8"/>
  </w:num>
  <w:num w:numId="19">
    <w:abstractNumId w:val="16"/>
  </w:num>
  <w:num w:numId="20">
    <w:abstractNumId w:val="5"/>
  </w:num>
  <w:num w:numId="21">
    <w:abstractNumId w:val="11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D"/>
    <w:rsid w:val="00006A48"/>
    <w:rsid w:val="00011C30"/>
    <w:rsid w:val="0001600C"/>
    <w:rsid w:val="0002252A"/>
    <w:rsid w:val="00033B0F"/>
    <w:rsid w:val="0003585C"/>
    <w:rsid w:val="00055928"/>
    <w:rsid w:val="00074CE4"/>
    <w:rsid w:val="00094A98"/>
    <w:rsid w:val="000B1805"/>
    <w:rsid w:val="000C09F5"/>
    <w:rsid w:val="000D5166"/>
    <w:rsid w:val="000D792A"/>
    <w:rsid w:val="000E1E4F"/>
    <w:rsid w:val="000E3193"/>
    <w:rsid w:val="000F0161"/>
    <w:rsid w:val="000F47FC"/>
    <w:rsid w:val="000F6729"/>
    <w:rsid w:val="0010493C"/>
    <w:rsid w:val="00112687"/>
    <w:rsid w:val="00120876"/>
    <w:rsid w:val="00125822"/>
    <w:rsid w:val="001343C0"/>
    <w:rsid w:val="00164834"/>
    <w:rsid w:val="0018311E"/>
    <w:rsid w:val="00192B3C"/>
    <w:rsid w:val="0019318E"/>
    <w:rsid w:val="001A23D9"/>
    <w:rsid w:val="001B44BB"/>
    <w:rsid w:val="001C5B04"/>
    <w:rsid w:val="001E5CFD"/>
    <w:rsid w:val="001F028C"/>
    <w:rsid w:val="001F0CF8"/>
    <w:rsid w:val="001F2380"/>
    <w:rsid w:val="001F39DE"/>
    <w:rsid w:val="00205EF8"/>
    <w:rsid w:val="00211571"/>
    <w:rsid w:val="00221A60"/>
    <w:rsid w:val="00242CAE"/>
    <w:rsid w:val="0024643C"/>
    <w:rsid w:val="00263D8F"/>
    <w:rsid w:val="00291A18"/>
    <w:rsid w:val="002A3C5D"/>
    <w:rsid w:val="002A518F"/>
    <w:rsid w:val="002B62F0"/>
    <w:rsid w:val="002C55DC"/>
    <w:rsid w:val="002C5739"/>
    <w:rsid w:val="002D5A63"/>
    <w:rsid w:val="002D7569"/>
    <w:rsid w:val="002E4D9C"/>
    <w:rsid w:val="002F152F"/>
    <w:rsid w:val="002F305A"/>
    <w:rsid w:val="002F43CB"/>
    <w:rsid w:val="002F5655"/>
    <w:rsid w:val="00315D00"/>
    <w:rsid w:val="00327BE5"/>
    <w:rsid w:val="00331676"/>
    <w:rsid w:val="003358DF"/>
    <w:rsid w:val="00344B7C"/>
    <w:rsid w:val="0034552F"/>
    <w:rsid w:val="00356EDF"/>
    <w:rsid w:val="00360AE3"/>
    <w:rsid w:val="00366B12"/>
    <w:rsid w:val="00370DFB"/>
    <w:rsid w:val="00384FC9"/>
    <w:rsid w:val="003853AE"/>
    <w:rsid w:val="003C501D"/>
    <w:rsid w:val="003C64F2"/>
    <w:rsid w:val="003D30AB"/>
    <w:rsid w:val="003E4D62"/>
    <w:rsid w:val="003F17CB"/>
    <w:rsid w:val="00410171"/>
    <w:rsid w:val="004137C3"/>
    <w:rsid w:val="0042586A"/>
    <w:rsid w:val="00431756"/>
    <w:rsid w:val="00441FE0"/>
    <w:rsid w:val="0045487E"/>
    <w:rsid w:val="00476D49"/>
    <w:rsid w:val="004A5E6A"/>
    <w:rsid w:val="004C0166"/>
    <w:rsid w:val="004C6E85"/>
    <w:rsid w:val="004D2D44"/>
    <w:rsid w:val="004D32E8"/>
    <w:rsid w:val="004E630C"/>
    <w:rsid w:val="004E65BD"/>
    <w:rsid w:val="005038E9"/>
    <w:rsid w:val="00525014"/>
    <w:rsid w:val="005262A7"/>
    <w:rsid w:val="00531AC5"/>
    <w:rsid w:val="00552C93"/>
    <w:rsid w:val="005546E5"/>
    <w:rsid w:val="00565262"/>
    <w:rsid w:val="005825E5"/>
    <w:rsid w:val="0058552D"/>
    <w:rsid w:val="0059567F"/>
    <w:rsid w:val="00595BEF"/>
    <w:rsid w:val="005A4220"/>
    <w:rsid w:val="005B5FD9"/>
    <w:rsid w:val="005D3589"/>
    <w:rsid w:val="005D3EB0"/>
    <w:rsid w:val="005D4615"/>
    <w:rsid w:val="005D51FF"/>
    <w:rsid w:val="005E74C9"/>
    <w:rsid w:val="0061205A"/>
    <w:rsid w:val="00612065"/>
    <w:rsid w:val="00660272"/>
    <w:rsid w:val="0068701A"/>
    <w:rsid w:val="00694213"/>
    <w:rsid w:val="0069517D"/>
    <w:rsid w:val="00696A06"/>
    <w:rsid w:val="006A09A4"/>
    <w:rsid w:val="006A2CDD"/>
    <w:rsid w:val="006B4B90"/>
    <w:rsid w:val="006B598A"/>
    <w:rsid w:val="006D5B24"/>
    <w:rsid w:val="006F3BFA"/>
    <w:rsid w:val="006F7A59"/>
    <w:rsid w:val="00702CFB"/>
    <w:rsid w:val="007058C5"/>
    <w:rsid w:val="00725690"/>
    <w:rsid w:val="00732AA0"/>
    <w:rsid w:val="00740D66"/>
    <w:rsid w:val="007517E1"/>
    <w:rsid w:val="0075567C"/>
    <w:rsid w:val="00755E99"/>
    <w:rsid w:val="00761EFD"/>
    <w:rsid w:val="00783DAA"/>
    <w:rsid w:val="0078566F"/>
    <w:rsid w:val="007A4076"/>
    <w:rsid w:val="007D40B2"/>
    <w:rsid w:val="007F0BC6"/>
    <w:rsid w:val="007F1F59"/>
    <w:rsid w:val="007F5323"/>
    <w:rsid w:val="00812CF5"/>
    <w:rsid w:val="00872819"/>
    <w:rsid w:val="008769F5"/>
    <w:rsid w:val="0089319B"/>
    <w:rsid w:val="008A0769"/>
    <w:rsid w:val="008A1A06"/>
    <w:rsid w:val="008A70A0"/>
    <w:rsid w:val="008C3338"/>
    <w:rsid w:val="008C4F91"/>
    <w:rsid w:val="008C54EF"/>
    <w:rsid w:val="008D132F"/>
    <w:rsid w:val="00900131"/>
    <w:rsid w:val="0090049D"/>
    <w:rsid w:val="009011C4"/>
    <w:rsid w:val="0091648C"/>
    <w:rsid w:val="0092397C"/>
    <w:rsid w:val="00931538"/>
    <w:rsid w:val="00956D47"/>
    <w:rsid w:val="0096138F"/>
    <w:rsid w:val="00972CC6"/>
    <w:rsid w:val="009739CC"/>
    <w:rsid w:val="009774EF"/>
    <w:rsid w:val="00986874"/>
    <w:rsid w:val="00990C3A"/>
    <w:rsid w:val="00997A14"/>
    <w:rsid w:val="009A3BA8"/>
    <w:rsid w:val="009E4922"/>
    <w:rsid w:val="009F588E"/>
    <w:rsid w:val="00A04604"/>
    <w:rsid w:val="00A06F3A"/>
    <w:rsid w:val="00A20926"/>
    <w:rsid w:val="00A20CEF"/>
    <w:rsid w:val="00A2473D"/>
    <w:rsid w:val="00A36C42"/>
    <w:rsid w:val="00A5015C"/>
    <w:rsid w:val="00A766A0"/>
    <w:rsid w:val="00A82B3D"/>
    <w:rsid w:val="00A82EA1"/>
    <w:rsid w:val="00A84900"/>
    <w:rsid w:val="00AB1E49"/>
    <w:rsid w:val="00AD2669"/>
    <w:rsid w:val="00AD5DD8"/>
    <w:rsid w:val="00AE79D7"/>
    <w:rsid w:val="00B11476"/>
    <w:rsid w:val="00B23E06"/>
    <w:rsid w:val="00B30BAC"/>
    <w:rsid w:val="00B30BD5"/>
    <w:rsid w:val="00B3388D"/>
    <w:rsid w:val="00B34F11"/>
    <w:rsid w:val="00B44B79"/>
    <w:rsid w:val="00B45529"/>
    <w:rsid w:val="00B46662"/>
    <w:rsid w:val="00B56511"/>
    <w:rsid w:val="00B67A35"/>
    <w:rsid w:val="00B9725F"/>
    <w:rsid w:val="00BA0AA0"/>
    <w:rsid w:val="00BD1FAA"/>
    <w:rsid w:val="00C13845"/>
    <w:rsid w:val="00C16503"/>
    <w:rsid w:val="00C3706E"/>
    <w:rsid w:val="00C37A0A"/>
    <w:rsid w:val="00C563D5"/>
    <w:rsid w:val="00C6161B"/>
    <w:rsid w:val="00C6665E"/>
    <w:rsid w:val="00C8074E"/>
    <w:rsid w:val="00C84A14"/>
    <w:rsid w:val="00C84DC9"/>
    <w:rsid w:val="00CB427B"/>
    <w:rsid w:val="00CB6A2D"/>
    <w:rsid w:val="00CB6F8E"/>
    <w:rsid w:val="00CC4BBD"/>
    <w:rsid w:val="00CC4BD4"/>
    <w:rsid w:val="00CF2076"/>
    <w:rsid w:val="00CF7DFE"/>
    <w:rsid w:val="00D00DA0"/>
    <w:rsid w:val="00D12AE3"/>
    <w:rsid w:val="00D2456E"/>
    <w:rsid w:val="00D2703E"/>
    <w:rsid w:val="00D31537"/>
    <w:rsid w:val="00D90158"/>
    <w:rsid w:val="00DA2CA3"/>
    <w:rsid w:val="00DC4BA5"/>
    <w:rsid w:val="00DE102C"/>
    <w:rsid w:val="00DE621F"/>
    <w:rsid w:val="00DF2AE0"/>
    <w:rsid w:val="00E00D1B"/>
    <w:rsid w:val="00E01F29"/>
    <w:rsid w:val="00E0437D"/>
    <w:rsid w:val="00E05B88"/>
    <w:rsid w:val="00E11D14"/>
    <w:rsid w:val="00E14BC9"/>
    <w:rsid w:val="00E46B38"/>
    <w:rsid w:val="00E52D60"/>
    <w:rsid w:val="00E65787"/>
    <w:rsid w:val="00E8188F"/>
    <w:rsid w:val="00E83F7D"/>
    <w:rsid w:val="00E94752"/>
    <w:rsid w:val="00EA10E6"/>
    <w:rsid w:val="00EA4CAA"/>
    <w:rsid w:val="00EB2690"/>
    <w:rsid w:val="00EB3245"/>
    <w:rsid w:val="00EB71A3"/>
    <w:rsid w:val="00ED3F30"/>
    <w:rsid w:val="00EF3FD9"/>
    <w:rsid w:val="00F0352B"/>
    <w:rsid w:val="00F03CE2"/>
    <w:rsid w:val="00F263DE"/>
    <w:rsid w:val="00F30372"/>
    <w:rsid w:val="00F3189A"/>
    <w:rsid w:val="00F36C83"/>
    <w:rsid w:val="00F36DE8"/>
    <w:rsid w:val="00F37D81"/>
    <w:rsid w:val="00F45615"/>
    <w:rsid w:val="00F54CDC"/>
    <w:rsid w:val="00F67237"/>
    <w:rsid w:val="00F76A30"/>
    <w:rsid w:val="00F77A11"/>
    <w:rsid w:val="00F8359D"/>
    <w:rsid w:val="00FA49F7"/>
    <w:rsid w:val="00FA4BC6"/>
    <w:rsid w:val="00FC1E29"/>
    <w:rsid w:val="00FC7D24"/>
    <w:rsid w:val="00FD07DB"/>
    <w:rsid w:val="00FD299F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BD40-FF55-48B1-80AC-1BA39FB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76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BB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76A3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7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5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6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1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47</cp:revision>
  <dcterms:created xsi:type="dcterms:W3CDTF">2019-11-28T12:29:00Z</dcterms:created>
  <dcterms:modified xsi:type="dcterms:W3CDTF">2019-12-03T13:39:00Z</dcterms:modified>
</cp:coreProperties>
</file>