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BD" w:rsidRPr="00B67A35" w:rsidRDefault="00CC4BBD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CC6" w:rsidRPr="00972CC6" w:rsidRDefault="00B67A35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Informačný s</w:t>
      </w:r>
      <w:r w:rsidR="00CC4BBD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 xml:space="preserve">eriál </w:t>
      </w:r>
      <w:r w:rsidR="00972CC6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Združenia pestovateľov obilnín</w:t>
      </w:r>
    </w:p>
    <w:p w:rsidR="004C0166" w:rsidRPr="00972CC6" w:rsidRDefault="00CC4BBD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o budúcej Spoločnej poľnohospodárskej politike EÚ na roky 2021-2027</w:t>
      </w:r>
    </w:p>
    <w:p w:rsidR="00B67A35" w:rsidRPr="009A3BA8" w:rsidRDefault="00B67A35" w:rsidP="00B67A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2CC6" w:rsidRPr="00A06F3A" w:rsidRDefault="00972CC6" w:rsidP="00A06F3A">
      <w:pPr>
        <w:pStyle w:val="Odsekzoznamu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06F3A">
        <w:rPr>
          <w:rFonts w:ascii="Arial" w:hAnsi="Arial" w:cs="Arial"/>
          <w:b/>
          <w:sz w:val="28"/>
          <w:szCs w:val="28"/>
        </w:rPr>
        <w:t>ČASŤ:</w:t>
      </w:r>
    </w:p>
    <w:p w:rsidR="001A23D9" w:rsidRPr="003C501D" w:rsidRDefault="00A06F3A" w:rsidP="003C501D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Hlavné priame podpory I. piliera</w:t>
      </w:r>
      <w:r w:rsidR="004137C3">
        <w:rPr>
          <w:rFonts w:ascii="Arial" w:hAnsi="Arial" w:cs="Arial"/>
          <w:b/>
          <w:sz w:val="28"/>
          <w:szCs w:val="28"/>
        </w:rPr>
        <w:t xml:space="preserve"> v rokoch 2021-2027</w:t>
      </w:r>
    </w:p>
    <w:p w:rsidR="00370DFB" w:rsidRDefault="00370DFB" w:rsidP="00370DFB">
      <w:pPr>
        <w:jc w:val="both"/>
        <w:rPr>
          <w:rFonts w:ascii="Arial" w:hAnsi="Arial" w:cs="Arial"/>
          <w:sz w:val="24"/>
          <w:szCs w:val="24"/>
        </w:rPr>
      </w:pPr>
    </w:p>
    <w:p w:rsidR="0010493C" w:rsidRPr="0010493C" w:rsidRDefault="0010493C" w:rsidP="00A06F3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0493C">
        <w:rPr>
          <w:rFonts w:ascii="Arial" w:hAnsi="Arial" w:cs="Arial"/>
          <w:i/>
          <w:sz w:val="24"/>
          <w:szCs w:val="24"/>
          <w:u w:val="single"/>
        </w:rPr>
        <w:t>Poznámka na úvod:</w:t>
      </w:r>
    </w:p>
    <w:p w:rsidR="00D00DA0" w:rsidRPr="0010493C" w:rsidRDefault="00D00DA0" w:rsidP="00A06F3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0493C">
        <w:rPr>
          <w:rFonts w:ascii="Arial" w:hAnsi="Arial" w:cs="Arial"/>
          <w:i/>
          <w:sz w:val="24"/>
          <w:szCs w:val="24"/>
        </w:rPr>
        <w:t xml:space="preserve">Keďže k dnešnému dňu nie je verejne známy návrh Národného strategického plánu SR pre roky 2021-2027, je potrebné poznamenať, že obsah tejto časti bude </w:t>
      </w:r>
      <w:r w:rsidR="0010493C">
        <w:rPr>
          <w:rFonts w:ascii="Arial" w:hAnsi="Arial" w:cs="Arial"/>
          <w:i/>
          <w:sz w:val="24"/>
          <w:szCs w:val="24"/>
        </w:rPr>
        <w:t xml:space="preserve">čisto </w:t>
      </w:r>
      <w:r w:rsidRPr="0010493C">
        <w:rPr>
          <w:rFonts w:ascii="Arial" w:hAnsi="Arial" w:cs="Arial"/>
          <w:i/>
          <w:sz w:val="24"/>
          <w:szCs w:val="24"/>
        </w:rPr>
        <w:t>hypotetický a orientačný. Konkrétne formy podpory v I. a II. pilieri, nástroje organizácie trhu s určitými komoditami, ako aj objem</w:t>
      </w:r>
      <w:r w:rsidR="00C3706E" w:rsidRPr="0010493C">
        <w:rPr>
          <w:rFonts w:ascii="Arial" w:hAnsi="Arial" w:cs="Arial"/>
          <w:i/>
          <w:sz w:val="24"/>
          <w:szCs w:val="24"/>
        </w:rPr>
        <w:t xml:space="preserve"> (resp. percento </w:t>
      </w:r>
      <w:r w:rsidR="0010493C">
        <w:rPr>
          <w:rFonts w:ascii="Arial" w:hAnsi="Arial" w:cs="Arial"/>
          <w:i/>
          <w:sz w:val="24"/>
          <w:szCs w:val="24"/>
        </w:rPr>
        <w:t xml:space="preserve">z </w:t>
      </w:r>
      <w:r w:rsidR="00C3706E" w:rsidRPr="0010493C">
        <w:rPr>
          <w:rFonts w:ascii="Arial" w:hAnsi="Arial" w:cs="Arial"/>
          <w:i/>
          <w:sz w:val="24"/>
          <w:szCs w:val="24"/>
        </w:rPr>
        <w:t>balíka)</w:t>
      </w:r>
      <w:r w:rsidRPr="0010493C">
        <w:rPr>
          <w:rFonts w:ascii="Arial" w:hAnsi="Arial" w:cs="Arial"/>
          <w:i/>
          <w:sz w:val="24"/>
          <w:szCs w:val="24"/>
        </w:rPr>
        <w:t xml:space="preserve"> prostriedkov pre jednotlivé opatrenia nastavuje Ministerstvo pôdohospodárstva a rozvoja vidieka SR. </w:t>
      </w:r>
      <w:r w:rsidR="00C3706E" w:rsidRPr="0010493C">
        <w:rPr>
          <w:rFonts w:ascii="Arial" w:hAnsi="Arial" w:cs="Arial"/>
          <w:i/>
          <w:sz w:val="24"/>
          <w:szCs w:val="24"/>
        </w:rPr>
        <w:t xml:space="preserve">Flexibilitu poskytujú aj možnosti presunu prostriedkov medzi piliermi, alternatíva negovania </w:t>
      </w:r>
      <w:proofErr w:type="spellStart"/>
      <w:r w:rsidR="00C3706E" w:rsidRPr="0010493C">
        <w:rPr>
          <w:rFonts w:ascii="Arial" w:hAnsi="Arial" w:cs="Arial"/>
          <w:i/>
          <w:sz w:val="24"/>
          <w:szCs w:val="24"/>
        </w:rPr>
        <w:t>stropovania</w:t>
      </w:r>
      <w:proofErr w:type="spellEnd"/>
      <w:r w:rsidR="00C3706E" w:rsidRPr="0010493C">
        <w:rPr>
          <w:rFonts w:ascii="Arial" w:hAnsi="Arial" w:cs="Arial"/>
          <w:i/>
          <w:sz w:val="24"/>
          <w:szCs w:val="24"/>
        </w:rPr>
        <w:t xml:space="preserve"> v prípade min.10% </w:t>
      </w:r>
      <w:proofErr w:type="spellStart"/>
      <w:r w:rsidR="00C3706E" w:rsidRPr="0010493C">
        <w:rPr>
          <w:rFonts w:ascii="Arial" w:hAnsi="Arial" w:cs="Arial"/>
          <w:i/>
          <w:sz w:val="24"/>
          <w:szCs w:val="24"/>
        </w:rPr>
        <w:t>redistribučnej</w:t>
      </w:r>
      <w:proofErr w:type="spellEnd"/>
      <w:r w:rsidR="00C3706E" w:rsidRPr="0010493C">
        <w:rPr>
          <w:rFonts w:ascii="Arial" w:hAnsi="Arial" w:cs="Arial"/>
          <w:i/>
          <w:sz w:val="24"/>
          <w:szCs w:val="24"/>
        </w:rPr>
        <w:t xml:space="preserve"> platby z I. piliera, alebo podiel národného </w:t>
      </w:r>
      <w:proofErr w:type="spellStart"/>
      <w:r w:rsidR="00C3706E" w:rsidRPr="0010493C">
        <w:rPr>
          <w:rFonts w:ascii="Arial" w:hAnsi="Arial" w:cs="Arial"/>
          <w:i/>
          <w:sz w:val="24"/>
          <w:szCs w:val="24"/>
        </w:rPr>
        <w:t>kofinancovania</w:t>
      </w:r>
      <w:proofErr w:type="spellEnd"/>
      <w:r w:rsidR="00C3706E" w:rsidRPr="0010493C">
        <w:rPr>
          <w:rFonts w:ascii="Arial" w:hAnsi="Arial" w:cs="Arial"/>
          <w:i/>
          <w:sz w:val="24"/>
          <w:szCs w:val="24"/>
        </w:rPr>
        <w:t xml:space="preserve"> opatrení </w:t>
      </w:r>
      <w:r w:rsidR="0010493C">
        <w:rPr>
          <w:rFonts w:ascii="Arial" w:hAnsi="Arial" w:cs="Arial"/>
          <w:i/>
          <w:sz w:val="24"/>
          <w:szCs w:val="24"/>
        </w:rPr>
        <w:t xml:space="preserve">II. piliera </w:t>
      </w:r>
      <w:r w:rsidR="00C3706E" w:rsidRPr="0010493C">
        <w:rPr>
          <w:rFonts w:ascii="Arial" w:hAnsi="Arial" w:cs="Arial"/>
          <w:i/>
          <w:sz w:val="24"/>
          <w:szCs w:val="24"/>
        </w:rPr>
        <w:t>pre rozvoj vidieka</w:t>
      </w:r>
      <w:r w:rsidR="0001600C">
        <w:rPr>
          <w:rFonts w:ascii="Arial" w:hAnsi="Arial" w:cs="Arial"/>
          <w:i/>
          <w:sz w:val="24"/>
          <w:szCs w:val="24"/>
        </w:rPr>
        <w:t>, apod</w:t>
      </w:r>
      <w:r w:rsidR="00C3706E" w:rsidRPr="0010493C">
        <w:rPr>
          <w:rFonts w:ascii="Arial" w:hAnsi="Arial" w:cs="Arial"/>
          <w:i/>
          <w:sz w:val="24"/>
          <w:szCs w:val="24"/>
        </w:rPr>
        <w:t xml:space="preserve">. Tie zatiaľ nepoznáme. </w:t>
      </w:r>
      <w:r w:rsidR="00C3706E" w:rsidRPr="0010493C">
        <w:rPr>
          <w:rFonts w:ascii="Arial" w:hAnsi="Arial" w:cs="Arial"/>
          <w:b/>
          <w:i/>
          <w:sz w:val="24"/>
          <w:szCs w:val="24"/>
        </w:rPr>
        <w:t>Preto, prosím, tieto</w:t>
      </w:r>
      <w:r w:rsidR="0010493C">
        <w:rPr>
          <w:rFonts w:ascii="Arial" w:hAnsi="Arial" w:cs="Arial"/>
          <w:b/>
          <w:i/>
          <w:sz w:val="24"/>
          <w:szCs w:val="24"/>
        </w:rPr>
        <w:t xml:space="preserve"> informácie chápte len ako možnosť</w:t>
      </w:r>
      <w:r w:rsidR="00C3706E" w:rsidRPr="0010493C">
        <w:rPr>
          <w:rFonts w:ascii="Arial" w:hAnsi="Arial" w:cs="Arial"/>
          <w:b/>
          <w:i/>
          <w:sz w:val="24"/>
          <w:szCs w:val="24"/>
        </w:rPr>
        <w:t>, nie finálne</w:t>
      </w:r>
      <w:r w:rsidR="0010493C">
        <w:rPr>
          <w:rFonts w:ascii="Arial" w:hAnsi="Arial" w:cs="Arial"/>
          <w:b/>
          <w:i/>
          <w:sz w:val="24"/>
          <w:szCs w:val="24"/>
        </w:rPr>
        <w:t xml:space="preserve"> znenie</w:t>
      </w:r>
      <w:r w:rsidR="00C3706E" w:rsidRPr="0010493C">
        <w:rPr>
          <w:rFonts w:ascii="Arial" w:hAnsi="Arial" w:cs="Arial"/>
          <w:b/>
          <w:i/>
          <w:sz w:val="24"/>
          <w:szCs w:val="24"/>
        </w:rPr>
        <w:t>!</w:t>
      </w:r>
    </w:p>
    <w:p w:rsidR="00C3706E" w:rsidRDefault="00C3706E" w:rsidP="00A06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A63" w:rsidRDefault="000E3193" w:rsidP="00A06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Európska Komisia, v rámci svojej štúdie výsledkov roku 2017, zistila, že v členských krajinách EÚ 20% prijímateľov čerpá 80% priamych platieb, resp. naopak 80% prijímateľov sa delí o zvyšných 20% priamych platieb. Potvrdilo sa, že koncentrácia priamych platieb je priamoúmerná koncentrácii pôdy. V únii pätina najväčších poľnohospodárskych podnikov sústreďuje 82% poľnohospodárskej pôdy a produkcie. Pritom v rebríčku vedie Slovenská republika, </w:t>
      </w:r>
      <w:r w:rsidR="005D51FF">
        <w:rPr>
          <w:rFonts w:ascii="Arial" w:hAnsi="Arial" w:cs="Arial"/>
          <w:sz w:val="24"/>
          <w:szCs w:val="24"/>
        </w:rPr>
        <w:t xml:space="preserve">nasledovaná Českou republikou. Na </w:t>
      </w:r>
      <w:r w:rsidR="005D51FF" w:rsidRPr="005D51FF">
        <w:rPr>
          <w:rFonts w:ascii="Arial" w:hAnsi="Arial" w:cs="Arial"/>
          <w:b/>
          <w:sz w:val="24"/>
          <w:szCs w:val="24"/>
        </w:rPr>
        <w:t>Slovensku</w:t>
      </w:r>
      <w:r>
        <w:rPr>
          <w:rFonts w:ascii="Arial" w:hAnsi="Arial" w:cs="Arial"/>
          <w:sz w:val="24"/>
          <w:szCs w:val="24"/>
        </w:rPr>
        <w:t xml:space="preserve"> je koncentrácia spomedzi všetkých členských krajín EÚ najvypuklejšia, keď </w:t>
      </w:r>
      <w:r w:rsidRPr="005D51FF">
        <w:rPr>
          <w:rFonts w:ascii="Arial" w:hAnsi="Arial" w:cs="Arial"/>
          <w:b/>
          <w:sz w:val="24"/>
          <w:szCs w:val="24"/>
        </w:rPr>
        <w:t>20% podnikov čerpá 94% priamych platieb</w:t>
      </w:r>
      <w:r>
        <w:rPr>
          <w:rFonts w:ascii="Arial" w:hAnsi="Arial" w:cs="Arial"/>
          <w:sz w:val="24"/>
          <w:szCs w:val="24"/>
        </w:rPr>
        <w:t xml:space="preserve"> (v Č</w:t>
      </w:r>
      <w:r w:rsidR="005D51FF">
        <w:rPr>
          <w:rFonts w:ascii="Arial" w:hAnsi="Arial" w:cs="Arial"/>
          <w:sz w:val="24"/>
          <w:szCs w:val="24"/>
        </w:rPr>
        <w:t>R je to 89%; priemer EÚ je 82%) – viď graf.</w:t>
      </w:r>
      <w:r w:rsidR="002D5A63">
        <w:rPr>
          <w:rFonts w:ascii="Arial" w:hAnsi="Arial" w:cs="Arial"/>
          <w:sz w:val="24"/>
          <w:szCs w:val="24"/>
        </w:rPr>
        <w:t xml:space="preserve"> </w:t>
      </w:r>
    </w:p>
    <w:p w:rsidR="002D5A63" w:rsidRDefault="00E83F7D" w:rsidP="00A06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F7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5003165</wp:posOffset>
                </wp:positionH>
                <wp:positionV relativeFrom="paragraph">
                  <wp:posOffset>1695450</wp:posOffset>
                </wp:positionV>
                <wp:extent cx="1622425" cy="2667000"/>
                <wp:effectExtent l="0" t="0" r="158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7D" w:rsidRDefault="00E83F7D">
                            <w:r>
                              <w:t>Graf: percentuálny podiel 20% najväčších poľnohospodárskych podnikov na:</w:t>
                            </w:r>
                          </w:p>
                          <w:p w:rsidR="00E83F7D" w:rsidRDefault="00E83F7D" w:rsidP="00E83F7D">
                            <w:pPr>
                              <w:pStyle w:val="Odsekzoznamu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Prijatých priamych platbách </w:t>
                            </w:r>
                            <w:r>
                              <w:br/>
                              <w:t>(modrý stĺpec)</w:t>
                            </w:r>
                          </w:p>
                          <w:p w:rsidR="00E83F7D" w:rsidRDefault="00E83F7D" w:rsidP="00E83F7D">
                            <w:pPr>
                              <w:pStyle w:val="Odsekzoznamu"/>
                              <w:numPr>
                                <w:ilvl w:val="0"/>
                                <w:numId w:val="18"/>
                              </w:numPr>
                            </w:pPr>
                            <w:proofErr w:type="spellStart"/>
                            <w:r>
                              <w:t>Poľnohospo-dárskej</w:t>
                            </w:r>
                            <w:proofErr w:type="spellEnd"/>
                            <w:r>
                              <w:t xml:space="preserve"> pôde (červený stĺpec)</w:t>
                            </w:r>
                          </w:p>
                          <w:p w:rsidR="00E83F7D" w:rsidRDefault="00E83F7D">
                            <w:r>
                              <w:t>Z</w:t>
                            </w:r>
                            <w:r w:rsidR="00A82B3D">
                              <w:t>droj: Európska Komisia, údaje roku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3.95pt;margin-top:133.5pt;width:127.75pt;height:2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">
                <v:textbox>
                  <w:txbxContent>
                    <w:p w:rsidR="00E83F7D" w:rsidRDefault="00E83F7D">
                      <w:r>
                        <w:t>Graf: percentuálny podiel 20% najväčších poľnohospodárskych podnikov na:</w:t>
                      </w:r>
                    </w:p>
                    <w:p w:rsidR="00E83F7D" w:rsidRDefault="00E83F7D" w:rsidP="00E83F7D">
                      <w:pPr>
                        <w:pStyle w:val="Odsekzoznamu"/>
                        <w:numPr>
                          <w:ilvl w:val="0"/>
                          <w:numId w:val="18"/>
                        </w:numPr>
                      </w:pPr>
                      <w:r>
                        <w:t xml:space="preserve">Prijatých priamych platbách </w:t>
                      </w:r>
                      <w:r>
                        <w:br/>
                        <w:t>(modrý stĺpec)</w:t>
                      </w:r>
                    </w:p>
                    <w:p w:rsidR="00E83F7D" w:rsidRDefault="00E83F7D" w:rsidP="00E83F7D">
                      <w:pPr>
                        <w:pStyle w:val="Odsekzoznamu"/>
                        <w:numPr>
                          <w:ilvl w:val="0"/>
                          <w:numId w:val="18"/>
                        </w:numPr>
                      </w:pPr>
                      <w:proofErr w:type="spellStart"/>
                      <w:r>
                        <w:t>Poľnohospo-dárskej</w:t>
                      </w:r>
                      <w:proofErr w:type="spellEnd"/>
                      <w:r>
                        <w:t xml:space="preserve"> pôde (červený stĺpec)</w:t>
                      </w:r>
                    </w:p>
                    <w:p w:rsidR="00E83F7D" w:rsidRDefault="00E83F7D">
                      <w:r>
                        <w:t>Z</w:t>
                      </w:r>
                      <w:r w:rsidR="00A82B3D">
                        <w:t>droj: Európska Komisia, údaje roku 2015.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A63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4886325" cy="4702565"/>
            <wp:effectExtent l="0" t="0" r="0" b="31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časť graf 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581" cy="47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A63" w:rsidRDefault="00872819" w:rsidP="00E83F7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8074E">
        <w:rPr>
          <w:rFonts w:ascii="Arial" w:hAnsi="Arial" w:cs="Arial"/>
          <w:b/>
          <w:sz w:val="24"/>
          <w:szCs w:val="24"/>
        </w:rPr>
        <w:t xml:space="preserve">Pritom priame platby v SR tvoria až 166% </w:t>
      </w:r>
      <w:r w:rsidR="00E83F7D" w:rsidRPr="00C8074E">
        <w:rPr>
          <w:rFonts w:ascii="Arial" w:hAnsi="Arial" w:cs="Arial"/>
          <w:b/>
          <w:sz w:val="24"/>
          <w:szCs w:val="24"/>
        </w:rPr>
        <w:t xml:space="preserve">podiel na </w:t>
      </w:r>
      <w:r w:rsidRPr="00C8074E">
        <w:rPr>
          <w:rFonts w:ascii="Arial" w:hAnsi="Arial" w:cs="Arial"/>
          <w:b/>
          <w:sz w:val="24"/>
          <w:szCs w:val="24"/>
        </w:rPr>
        <w:t>zisku</w:t>
      </w:r>
      <w:r w:rsidR="00E83F7D" w:rsidRPr="00C8074E">
        <w:rPr>
          <w:rFonts w:ascii="Arial" w:hAnsi="Arial" w:cs="Arial"/>
          <w:b/>
          <w:sz w:val="24"/>
          <w:szCs w:val="24"/>
        </w:rPr>
        <w:t xml:space="preserve"> a 68%</w:t>
      </w:r>
      <w:r w:rsidR="00C8074E">
        <w:rPr>
          <w:rFonts w:ascii="Arial" w:hAnsi="Arial" w:cs="Arial"/>
          <w:b/>
          <w:sz w:val="24"/>
          <w:szCs w:val="24"/>
        </w:rPr>
        <w:t xml:space="preserve"> na pridanej hodnote </w:t>
      </w:r>
      <w:r w:rsidR="00C8074E" w:rsidRPr="00C8074E">
        <w:rPr>
          <w:rFonts w:ascii="Arial" w:hAnsi="Arial" w:cs="Arial"/>
          <w:sz w:val="24"/>
          <w:szCs w:val="24"/>
        </w:rPr>
        <w:t>(to znamená, že bez priamych pla</w:t>
      </w:r>
      <w:r w:rsidR="002C55DC">
        <w:rPr>
          <w:rFonts w:ascii="Arial" w:hAnsi="Arial" w:cs="Arial"/>
          <w:sz w:val="24"/>
          <w:szCs w:val="24"/>
        </w:rPr>
        <w:t xml:space="preserve">tieb by väčšina </w:t>
      </w:r>
      <w:proofErr w:type="spellStart"/>
      <w:r w:rsidR="002C55DC">
        <w:rPr>
          <w:rFonts w:ascii="Arial" w:hAnsi="Arial" w:cs="Arial"/>
          <w:sz w:val="24"/>
          <w:szCs w:val="24"/>
        </w:rPr>
        <w:t>poľnoh</w:t>
      </w:r>
      <w:proofErr w:type="spellEnd"/>
      <w:r w:rsidR="002C55DC">
        <w:rPr>
          <w:rFonts w:ascii="Arial" w:hAnsi="Arial" w:cs="Arial"/>
          <w:sz w:val="24"/>
          <w:szCs w:val="24"/>
        </w:rPr>
        <w:t>. podnikov vykazovala</w:t>
      </w:r>
      <w:r w:rsidR="00EB3245">
        <w:rPr>
          <w:rFonts w:ascii="Arial" w:hAnsi="Arial" w:cs="Arial"/>
          <w:sz w:val="24"/>
          <w:szCs w:val="24"/>
        </w:rPr>
        <w:t xml:space="preserve"> stratu, podľa</w:t>
      </w:r>
      <w:r w:rsidR="00C8074E">
        <w:rPr>
          <w:rFonts w:ascii="Arial" w:hAnsi="Arial" w:cs="Arial"/>
          <w:sz w:val="24"/>
          <w:szCs w:val="24"/>
        </w:rPr>
        <w:t xml:space="preserve"> IPP</w:t>
      </w:r>
      <w:r w:rsidR="00EB3245">
        <w:rPr>
          <w:rFonts w:ascii="Arial" w:hAnsi="Arial" w:cs="Arial"/>
          <w:sz w:val="24"/>
          <w:szCs w:val="24"/>
        </w:rPr>
        <w:t>)</w:t>
      </w:r>
      <w:r w:rsidR="00C8074E">
        <w:rPr>
          <w:rFonts w:ascii="Arial" w:hAnsi="Arial" w:cs="Arial"/>
          <w:sz w:val="24"/>
          <w:szCs w:val="24"/>
        </w:rPr>
        <w:t>.</w:t>
      </w:r>
    </w:p>
    <w:p w:rsidR="004E630C" w:rsidRDefault="006A09A4" w:rsidP="00E83F7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 budúcom období preto Európska Komisia navrhuje zaviesť namiesto základnej </w:t>
      </w:r>
      <w:r w:rsidR="000B1805">
        <w:rPr>
          <w:rFonts w:ascii="Arial" w:hAnsi="Arial" w:cs="Arial"/>
          <w:sz w:val="24"/>
          <w:szCs w:val="24"/>
        </w:rPr>
        <w:t xml:space="preserve">oddelenej </w:t>
      </w:r>
      <w:r>
        <w:rPr>
          <w:rFonts w:ascii="Arial" w:hAnsi="Arial" w:cs="Arial"/>
          <w:sz w:val="24"/>
          <w:szCs w:val="24"/>
        </w:rPr>
        <w:t>platby na plochu novú, tzv</w:t>
      </w:r>
      <w:r w:rsidRPr="006A09A4">
        <w:rPr>
          <w:rFonts w:ascii="Arial" w:hAnsi="Arial" w:cs="Arial"/>
          <w:b/>
          <w:sz w:val="24"/>
          <w:szCs w:val="24"/>
        </w:rPr>
        <w:t>. BISS schému</w:t>
      </w:r>
      <w:r>
        <w:rPr>
          <w:rFonts w:ascii="Arial" w:hAnsi="Arial" w:cs="Arial"/>
          <w:sz w:val="24"/>
          <w:szCs w:val="24"/>
        </w:rPr>
        <w:t xml:space="preserve"> (</w:t>
      </w:r>
      <w:r w:rsidRPr="006A2CDD">
        <w:rPr>
          <w:rFonts w:ascii="Arial" w:hAnsi="Arial" w:cs="Arial"/>
          <w:i/>
          <w:sz w:val="24"/>
          <w:szCs w:val="24"/>
        </w:rPr>
        <w:t xml:space="preserve">z anglického </w:t>
      </w:r>
      <w:proofErr w:type="spellStart"/>
      <w:r w:rsidRPr="006A2CDD">
        <w:rPr>
          <w:rFonts w:ascii="Arial" w:hAnsi="Arial" w:cs="Arial"/>
          <w:i/>
          <w:sz w:val="24"/>
          <w:szCs w:val="24"/>
        </w:rPr>
        <w:t>Basic</w:t>
      </w:r>
      <w:proofErr w:type="spellEnd"/>
      <w:r w:rsidRPr="006A2CD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2CDD">
        <w:rPr>
          <w:rFonts w:ascii="Arial" w:hAnsi="Arial" w:cs="Arial"/>
          <w:i/>
          <w:sz w:val="24"/>
          <w:szCs w:val="24"/>
        </w:rPr>
        <w:t>Income</w:t>
      </w:r>
      <w:proofErr w:type="spellEnd"/>
      <w:r w:rsidRPr="006A2CD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2CDD">
        <w:rPr>
          <w:rFonts w:ascii="Arial" w:hAnsi="Arial" w:cs="Arial"/>
          <w:i/>
          <w:sz w:val="24"/>
          <w:szCs w:val="24"/>
        </w:rPr>
        <w:t>Support</w:t>
      </w:r>
      <w:proofErr w:type="spellEnd"/>
      <w:r w:rsidRPr="006A2CD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2CDD">
        <w:rPr>
          <w:rFonts w:ascii="Arial" w:hAnsi="Arial" w:cs="Arial"/>
          <w:i/>
          <w:sz w:val="24"/>
          <w:szCs w:val="24"/>
        </w:rPr>
        <w:t>for</w:t>
      </w:r>
      <w:proofErr w:type="spellEnd"/>
      <w:r w:rsidRPr="006A2CD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2CDD">
        <w:rPr>
          <w:rFonts w:ascii="Arial" w:hAnsi="Arial" w:cs="Arial"/>
          <w:i/>
          <w:sz w:val="24"/>
          <w:szCs w:val="24"/>
        </w:rPr>
        <w:t>Sustainability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164834">
        <w:rPr>
          <w:rFonts w:ascii="Arial" w:hAnsi="Arial" w:cs="Arial"/>
          <w:b/>
          <w:sz w:val="24"/>
          <w:szCs w:val="24"/>
        </w:rPr>
        <w:t>„základnú podporu príjmu pre trvalú udržateľnosť“</w:t>
      </w:r>
      <w:r>
        <w:rPr>
          <w:rFonts w:ascii="Arial" w:hAnsi="Arial" w:cs="Arial"/>
          <w:sz w:val="24"/>
          <w:szCs w:val="24"/>
        </w:rPr>
        <w:t>. V nej kombinuje pl</w:t>
      </w:r>
      <w:r w:rsidR="00164834">
        <w:rPr>
          <w:rFonts w:ascii="Arial" w:hAnsi="Arial" w:cs="Arial"/>
          <w:sz w:val="24"/>
          <w:szCs w:val="24"/>
        </w:rPr>
        <w:t>atbu na plochu so zazeleňovaním.  A</w:t>
      </w:r>
      <w:r>
        <w:rPr>
          <w:rFonts w:ascii="Arial" w:hAnsi="Arial" w:cs="Arial"/>
          <w:sz w:val="24"/>
          <w:szCs w:val="24"/>
        </w:rPr>
        <w:t xml:space="preserve"> zároveň ju podmieňuje dodržiavaním tzv. „</w:t>
      </w:r>
      <w:proofErr w:type="spellStart"/>
      <w:r>
        <w:rPr>
          <w:rFonts w:ascii="Arial" w:hAnsi="Arial" w:cs="Arial"/>
          <w:sz w:val="24"/>
          <w:szCs w:val="24"/>
        </w:rPr>
        <w:t>kondicionalít</w:t>
      </w:r>
      <w:proofErr w:type="spellEnd"/>
      <w:r>
        <w:rPr>
          <w:rFonts w:ascii="Arial" w:hAnsi="Arial" w:cs="Arial"/>
          <w:sz w:val="24"/>
          <w:szCs w:val="24"/>
        </w:rPr>
        <w:t xml:space="preserve">“, teda </w:t>
      </w:r>
      <w:r w:rsidR="004E630C">
        <w:rPr>
          <w:rFonts w:ascii="Arial" w:hAnsi="Arial" w:cs="Arial"/>
          <w:sz w:val="24"/>
          <w:szCs w:val="24"/>
        </w:rPr>
        <w:t>rozšírených</w:t>
      </w:r>
      <w:r w:rsidR="004E63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povinných podmienok pre ochranu životného prostredia a klímy </w:t>
      </w:r>
      <w:r w:rsidR="004E630C">
        <w:rPr>
          <w:rFonts w:ascii="Arial" w:hAnsi="Arial" w:cs="Arial"/>
          <w:sz w:val="24"/>
          <w:szCs w:val="24"/>
        </w:rPr>
        <w:t>(doterajšie</w:t>
      </w:r>
      <w:r>
        <w:rPr>
          <w:rFonts w:ascii="Arial" w:hAnsi="Arial" w:cs="Arial"/>
          <w:sz w:val="24"/>
          <w:szCs w:val="24"/>
        </w:rPr>
        <w:t xml:space="preserve"> „GAEC“</w:t>
      </w:r>
      <w:r w:rsidR="004E630C">
        <w:rPr>
          <w:rFonts w:ascii="Arial" w:hAnsi="Arial" w:cs="Arial"/>
          <w:sz w:val="24"/>
          <w:szCs w:val="24"/>
        </w:rPr>
        <w:t xml:space="preserve"> – 10 požiadaviek,</w:t>
      </w:r>
      <w:r>
        <w:rPr>
          <w:rFonts w:ascii="Arial" w:hAnsi="Arial" w:cs="Arial"/>
          <w:sz w:val="24"/>
          <w:szCs w:val="24"/>
        </w:rPr>
        <w:t> „SMR“</w:t>
      </w:r>
      <w:r w:rsidR="004E630C">
        <w:rPr>
          <w:rFonts w:ascii="Arial" w:hAnsi="Arial" w:cs="Arial"/>
          <w:sz w:val="24"/>
          <w:szCs w:val="24"/>
        </w:rPr>
        <w:t xml:space="preserve">- 16 požiadaviek + rotácia plodín, plán riadenia živín, atď. </w:t>
      </w:r>
      <w:r w:rsidR="00192B3C">
        <w:rPr>
          <w:rFonts w:ascii="Arial" w:hAnsi="Arial" w:cs="Arial"/>
          <w:sz w:val="24"/>
          <w:szCs w:val="24"/>
        </w:rPr>
        <w:t xml:space="preserve">– </w:t>
      </w:r>
      <w:r w:rsidR="00192B3C" w:rsidRPr="00164834">
        <w:rPr>
          <w:rFonts w:ascii="Arial" w:hAnsi="Arial" w:cs="Arial"/>
          <w:i/>
          <w:sz w:val="24"/>
          <w:szCs w:val="24"/>
          <w:u w:val="single"/>
        </w:rPr>
        <w:t xml:space="preserve">viď </w:t>
      </w:r>
      <w:r w:rsidR="00164834" w:rsidRPr="00164834">
        <w:rPr>
          <w:rFonts w:ascii="Arial" w:hAnsi="Arial" w:cs="Arial"/>
          <w:i/>
          <w:sz w:val="24"/>
          <w:szCs w:val="24"/>
          <w:u w:val="single"/>
        </w:rPr>
        <w:t>3.časť</w:t>
      </w:r>
      <w:r w:rsidR="00192B3C" w:rsidRPr="00164834">
        <w:rPr>
          <w:rFonts w:ascii="Arial" w:hAnsi="Arial" w:cs="Arial"/>
          <w:i/>
          <w:sz w:val="24"/>
          <w:szCs w:val="24"/>
          <w:u w:val="single"/>
        </w:rPr>
        <w:t xml:space="preserve"> nášho </w:t>
      </w:r>
      <w:proofErr w:type="spellStart"/>
      <w:r w:rsidR="00164834" w:rsidRPr="00164834">
        <w:rPr>
          <w:rFonts w:ascii="Arial" w:hAnsi="Arial" w:cs="Arial"/>
          <w:i/>
          <w:sz w:val="24"/>
          <w:szCs w:val="24"/>
          <w:u w:val="single"/>
        </w:rPr>
        <w:t>info</w:t>
      </w:r>
      <w:r w:rsidR="00192B3C" w:rsidRPr="00164834">
        <w:rPr>
          <w:rFonts w:ascii="Arial" w:hAnsi="Arial" w:cs="Arial"/>
          <w:i/>
          <w:sz w:val="24"/>
          <w:szCs w:val="24"/>
          <w:u w:val="single"/>
        </w:rPr>
        <w:t>seriálu</w:t>
      </w:r>
      <w:proofErr w:type="spellEnd"/>
      <w:r w:rsidR="00164834" w:rsidRPr="00164834">
        <w:rPr>
          <w:rFonts w:ascii="Arial" w:hAnsi="Arial" w:cs="Arial"/>
          <w:i/>
          <w:sz w:val="24"/>
          <w:szCs w:val="24"/>
          <w:u w:val="single"/>
        </w:rPr>
        <w:t>!</w:t>
      </w:r>
      <w:r w:rsidR="00192B3C" w:rsidRPr="00164834">
        <w:rPr>
          <w:rFonts w:ascii="Arial" w:hAnsi="Arial" w:cs="Arial"/>
          <w:i/>
          <w:sz w:val="24"/>
          <w:szCs w:val="24"/>
          <w:u w:val="single"/>
        </w:rPr>
        <w:t>).</w:t>
      </w:r>
      <w:r w:rsidR="00E14BC9" w:rsidRPr="00164834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E14BC9">
        <w:rPr>
          <w:rFonts w:ascii="Arial" w:hAnsi="Arial" w:cs="Arial"/>
          <w:sz w:val="24"/>
          <w:szCs w:val="24"/>
        </w:rPr>
        <w:t>Pre túto formu podpo</w:t>
      </w:r>
      <w:r w:rsidR="005546E5">
        <w:rPr>
          <w:rFonts w:ascii="Arial" w:hAnsi="Arial" w:cs="Arial"/>
          <w:sz w:val="24"/>
          <w:szCs w:val="24"/>
        </w:rPr>
        <w:t xml:space="preserve">ry je nateraz stanovených </w:t>
      </w:r>
      <w:r w:rsidR="005546E5" w:rsidRPr="005546E5">
        <w:rPr>
          <w:rFonts w:ascii="Arial" w:hAnsi="Arial" w:cs="Arial"/>
          <w:b/>
          <w:sz w:val="24"/>
          <w:szCs w:val="24"/>
        </w:rPr>
        <w:t>min.30</w:t>
      </w:r>
      <w:r w:rsidR="00E14BC9" w:rsidRPr="005546E5">
        <w:rPr>
          <w:rFonts w:ascii="Arial" w:hAnsi="Arial" w:cs="Arial"/>
          <w:b/>
          <w:sz w:val="24"/>
          <w:szCs w:val="24"/>
        </w:rPr>
        <w:t>%</w:t>
      </w:r>
      <w:r w:rsidR="005546E5" w:rsidRPr="005546E5">
        <w:rPr>
          <w:rFonts w:ascii="Arial" w:hAnsi="Arial" w:cs="Arial"/>
          <w:b/>
          <w:sz w:val="24"/>
          <w:szCs w:val="24"/>
        </w:rPr>
        <w:t xml:space="preserve"> až 60%</w:t>
      </w:r>
      <w:r w:rsidR="005546E5">
        <w:rPr>
          <w:rFonts w:ascii="Arial" w:hAnsi="Arial" w:cs="Arial"/>
          <w:sz w:val="24"/>
          <w:szCs w:val="24"/>
        </w:rPr>
        <w:t xml:space="preserve"> (resp. 70%) </w:t>
      </w:r>
      <w:r w:rsidR="00E14BC9">
        <w:rPr>
          <w:rFonts w:ascii="Arial" w:hAnsi="Arial" w:cs="Arial"/>
          <w:sz w:val="24"/>
          <w:szCs w:val="24"/>
        </w:rPr>
        <w:t>rozpočtu I. piliera.</w:t>
      </w:r>
      <w:r w:rsidR="001F028C">
        <w:rPr>
          <w:rFonts w:ascii="Arial" w:hAnsi="Arial" w:cs="Arial"/>
          <w:sz w:val="24"/>
          <w:szCs w:val="24"/>
        </w:rPr>
        <w:t xml:space="preserve"> No keďže ide o najjednoduchšiu formu platby, jej objem sa vypočíta až po odrátaní všetkých ostatných nevyhnutných platieb v rámci I. piliera.</w:t>
      </w:r>
    </w:p>
    <w:p w:rsidR="00740D66" w:rsidRDefault="005546E5" w:rsidP="00E83F7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Ďalšiu</w:t>
      </w:r>
      <w:r w:rsidR="00E14BC9">
        <w:rPr>
          <w:rFonts w:ascii="Arial" w:hAnsi="Arial" w:cs="Arial"/>
          <w:sz w:val="24"/>
          <w:szCs w:val="24"/>
        </w:rPr>
        <w:t xml:space="preserve"> ča</w:t>
      </w:r>
      <w:r>
        <w:rPr>
          <w:rFonts w:ascii="Arial" w:hAnsi="Arial" w:cs="Arial"/>
          <w:sz w:val="24"/>
          <w:szCs w:val="24"/>
        </w:rPr>
        <w:t>sť</w:t>
      </w:r>
      <w:r w:rsidR="00E14BC9">
        <w:rPr>
          <w:rFonts w:ascii="Arial" w:hAnsi="Arial" w:cs="Arial"/>
          <w:sz w:val="24"/>
          <w:szCs w:val="24"/>
        </w:rPr>
        <w:t xml:space="preserve"> podpôr v I.</w:t>
      </w:r>
      <w:r>
        <w:rPr>
          <w:rFonts w:ascii="Arial" w:hAnsi="Arial" w:cs="Arial"/>
          <w:sz w:val="24"/>
          <w:szCs w:val="24"/>
        </w:rPr>
        <w:t xml:space="preserve"> pilieri budú tvoriť</w:t>
      </w:r>
      <w:r w:rsidR="00E14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BC9" w:rsidRPr="00E14BC9">
        <w:rPr>
          <w:rFonts w:ascii="Arial" w:hAnsi="Arial" w:cs="Arial"/>
          <w:b/>
          <w:sz w:val="24"/>
          <w:szCs w:val="24"/>
        </w:rPr>
        <w:t>ekochémy</w:t>
      </w:r>
      <w:proofErr w:type="spellEnd"/>
      <w:r>
        <w:rPr>
          <w:rFonts w:ascii="Arial" w:hAnsi="Arial" w:cs="Arial"/>
          <w:sz w:val="24"/>
          <w:szCs w:val="24"/>
        </w:rPr>
        <w:t>, na ktoré</w:t>
      </w:r>
      <w:r w:rsidR="00E14BC9">
        <w:rPr>
          <w:rFonts w:ascii="Arial" w:hAnsi="Arial" w:cs="Arial"/>
          <w:sz w:val="24"/>
          <w:szCs w:val="24"/>
        </w:rPr>
        <w:t xml:space="preserve"> v súčasnom návrhu nar</w:t>
      </w:r>
      <w:r>
        <w:rPr>
          <w:rFonts w:ascii="Arial" w:hAnsi="Arial" w:cs="Arial"/>
          <w:sz w:val="24"/>
          <w:szCs w:val="24"/>
        </w:rPr>
        <w:t>iadenia nie je stanovený percentuálny limit</w:t>
      </w:r>
      <w:r w:rsidR="001F028C">
        <w:rPr>
          <w:rFonts w:ascii="Arial" w:hAnsi="Arial" w:cs="Arial"/>
          <w:sz w:val="24"/>
          <w:szCs w:val="24"/>
        </w:rPr>
        <w:t xml:space="preserve"> (</w:t>
      </w:r>
      <w:r w:rsidRPr="001F028C">
        <w:rPr>
          <w:rFonts w:ascii="Arial" w:hAnsi="Arial" w:cs="Arial"/>
          <w:b/>
          <w:sz w:val="24"/>
          <w:szCs w:val="24"/>
        </w:rPr>
        <w:t>odporúča</w:t>
      </w:r>
      <w:r w:rsidR="001F028C" w:rsidRPr="001F028C">
        <w:rPr>
          <w:rFonts w:ascii="Arial" w:hAnsi="Arial" w:cs="Arial"/>
          <w:b/>
          <w:sz w:val="24"/>
          <w:szCs w:val="24"/>
        </w:rPr>
        <w:t xml:space="preserve"> sa však</w:t>
      </w:r>
      <w:r w:rsidRPr="001F028C">
        <w:rPr>
          <w:rFonts w:ascii="Arial" w:hAnsi="Arial" w:cs="Arial"/>
          <w:b/>
          <w:sz w:val="24"/>
          <w:szCs w:val="24"/>
        </w:rPr>
        <w:t xml:space="preserve"> </w:t>
      </w:r>
      <w:r w:rsidR="001F028C" w:rsidRPr="001F028C">
        <w:rPr>
          <w:rFonts w:ascii="Arial" w:hAnsi="Arial" w:cs="Arial"/>
          <w:b/>
          <w:sz w:val="24"/>
          <w:szCs w:val="24"/>
        </w:rPr>
        <w:t xml:space="preserve">min. </w:t>
      </w:r>
      <w:r w:rsidRPr="001F028C">
        <w:rPr>
          <w:rFonts w:ascii="Arial" w:hAnsi="Arial" w:cs="Arial"/>
          <w:b/>
          <w:sz w:val="24"/>
          <w:szCs w:val="24"/>
        </w:rPr>
        <w:t>20%</w:t>
      </w:r>
      <w:r>
        <w:rPr>
          <w:rFonts w:ascii="Arial" w:hAnsi="Arial" w:cs="Arial"/>
          <w:sz w:val="24"/>
          <w:szCs w:val="24"/>
        </w:rPr>
        <w:t>)</w:t>
      </w:r>
      <w:r w:rsidR="00E14BC9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Ekoschémy</w:t>
      </w:r>
      <w:proofErr w:type="spellEnd"/>
      <w:r w:rsidR="00E14BC9">
        <w:rPr>
          <w:rFonts w:ascii="Arial" w:hAnsi="Arial" w:cs="Arial"/>
          <w:sz w:val="24"/>
          <w:szCs w:val="24"/>
        </w:rPr>
        <w:t xml:space="preserve"> sú však už akousi nadstavbou </w:t>
      </w:r>
      <w:r w:rsidR="00740D66">
        <w:rPr>
          <w:rFonts w:ascii="Arial" w:hAnsi="Arial" w:cs="Arial"/>
          <w:sz w:val="24"/>
          <w:szCs w:val="24"/>
        </w:rPr>
        <w:t xml:space="preserve">nad základnými požiadavkami </w:t>
      </w:r>
      <w:r w:rsidR="00E14BC9">
        <w:rPr>
          <w:rFonts w:ascii="Arial" w:hAnsi="Arial" w:cs="Arial"/>
          <w:sz w:val="24"/>
          <w:szCs w:val="24"/>
        </w:rPr>
        <w:t>a pre poľnohospodárov bude ich uplatňovanie dobrovoľné</w:t>
      </w:r>
      <w:r w:rsidR="008C3338">
        <w:rPr>
          <w:rFonts w:ascii="Arial" w:hAnsi="Arial" w:cs="Arial"/>
          <w:sz w:val="24"/>
          <w:szCs w:val="24"/>
        </w:rPr>
        <w:t xml:space="preserve">, </w:t>
      </w:r>
      <w:r w:rsidR="001F028C">
        <w:rPr>
          <w:rFonts w:ascii="Arial" w:hAnsi="Arial" w:cs="Arial"/>
          <w:sz w:val="24"/>
          <w:szCs w:val="24"/>
        </w:rPr>
        <w:t xml:space="preserve">pričom ich </w:t>
      </w:r>
      <w:r w:rsidR="008C3338">
        <w:rPr>
          <w:rFonts w:ascii="Arial" w:hAnsi="Arial" w:cs="Arial"/>
          <w:sz w:val="24"/>
          <w:szCs w:val="24"/>
        </w:rPr>
        <w:t xml:space="preserve">záväzok bude </w:t>
      </w:r>
      <w:r w:rsidR="00660272">
        <w:rPr>
          <w:rFonts w:ascii="Arial" w:hAnsi="Arial" w:cs="Arial"/>
          <w:sz w:val="24"/>
          <w:szCs w:val="24"/>
        </w:rPr>
        <w:t xml:space="preserve">platiť vždy </w:t>
      </w:r>
      <w:r w:rsidR="008C3338">
        <w:rPr>
          <w:rFonts w:ascii="Arial" w:hAnsi="Arial" w:cs="Arial"/>
          <w:sz w:val="24"/>
          <w:szCs w:val="24"/>
        </w:rPr>
        <w:t>len na jeden rok</w:t>
      </w:r>
      <w:r w:rsidR="00164834">
        <w:rPr>
          <w:rFonts w:ascii="Arial" w:hAnsi="Arial" w:cs="Arial"/>
          <w:sz w:val="24"/>
          <w:szCs w:val="24"/>
        </w:rPr>
        <w:t>. Členský štát</w:t>
      </w:r>
      <w:r w:rsidR="00E14BC9">
        <w:rPr>
          <w:rFonts w:ascii="Arial" w:hAnsi="Arial" w:cs="Arial"/>
          <w:sz w:val="24"/>
          <w:szCs w:val="24"/>
        </w:rPr>
        <w:t xml:space="preserve"> je povinný navrhnúť</w:t>
      </w:r>
      <w:r w:rsidR="001648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34">
        <w:rPr>
          <w:rFonts w:ascii="Arial" w:hAnsi="Arial" w:cs="Arial"/>
          <w:sz w:val="24"/>
          <w:szCs w:val="24"/>
        </w:rPr>
        <w:t>ekoschémy</w:t>
      </w:r>
      <w:proofErr w:type="spellEnd"/>
      <w:r w:rsidR="00E14BC9">
        <w:rPr>
          <w:rFonts w:ascii="Arial" w:hAnsi="Arial" w:cs="Arial"/>
          <w:sz w:val="24"/>
          <w:szCs w:val="24"/>
        </w:rPr>
        <w:t xml:space="preserve">, aby pomocou nich reagoval na najväčšie problémy krajiny, či konkrétnych jej regiónov, v oblasti </w:t>
      </w:r>
      <w:proofErr w:type="spellStart"/>
      <w:r w:rsidR="00E14BC9">
        <w:rPr>
          <w:rFonts w:ascii="Arial" w:hAnsi="Arial" w:cs="Arial"/>
          <w:sz w:val="24"/>
          <w:szCs w:val="24"/>
        </w:rPr>
        <w:t>environmentu</w:t>
      </w:r>
      <w:proofErr w:type="spellEnd"/>
      <w:r w:rsidR="00E14BC9">
        <w:rPr>
          <w:rFonts w:ascii="Arial" w:hAnsi="Arial" w:cs="Arial"/>
          <w:sz w:val="24"/>
          <w:szCs w:val="24"/>
        </w:rPr>
        <w:t xml:space="preserve">. </w:t>
      </w:r>
      <w:r w:rsidR="00660272">
        <w:rPr>
          <w:rFonts w:ascii="Arial" w:hAnsi="Arial" w:cs="Arial"/>
          <w:sz w:val="24"/>
          <w:szCs w:val="24"/>
        </w:rPr>
        <w:t xml:space="preserve">A teda môže ísť napr. o protierózne opatrenia, </w:t>
      </w:r>
      <w:proofErr w:type="spellStart"/>
      <w:r w:rsidR="00660272">
        <w:rPr>
          <w:rFonts w:ascii="Arial" w:hAnsi="Arial" w:cs="Arial"/>
          <w:sz w:val="24"/>
          <w:szCs w:val="24"/>
        </w:rPr>
        <w:t>vodozádržné</w:t>
      </w:r>
      <w:proofErr w:type="spellEnd"/>
      <w:r w:rsidR="00660272">
        <w:rPr>
          <w:rFonts w:ascii="Arial" w:hAnsi="Arial" w:cs="Arial"/>
          <w:sz w:val="24"/>
          <w:szCs w:val="24"/>
        </w:rPr>
        <w:t xml:space="preserve"> opatrenia, uplatňovanie prvkov </w:t>
      </w:r>
      <w:proofErr w:type="spellStart"/>
      <w:r w:rsidR="00660272">
        <w:rPr>
          <w:rFonts w:ascii="Arial" w:hAnsi="Arial" w:cs="Arial"/>
          <w:sz w:val="24"/>
          <w:szCs w:val="24"/>
        </w:rPr>
        <w:t>krajinotvorby</w:t>
      </w:r>
      <w:proofErr w:type="spellEnd"/>
      <w:r w:rsidR="00660272">
        <w:rPr>
          <w:rFonts w:ascii="Arial" w:hAnsi="Arial" w:cs="Arial"/>
          <w:sz w:val="24"/>
          <w:szCs w:val="24"/>
        </w:rPr>
        <w:t xml:space="preserve"> – remízky, aleje stromov </w:t>
      </w:r>
      <w:r w:rsidR="00660272">
        <w:rPr>
          <w:rFonts w:ascii="Arial" w:hAnsi="Arial" w:cs="Arial"/>
          <w:sz w:val="24"/>
          <w:szCs w:val="24"/>
        </w:rPr>
        <w:t>na okrajoch polí</w:t>
      </w:r>
      <w:r w:rsidR="00660272">
        <w:rPr>
          <w:rFonts w:ascii="Arial" w:hAnsi="Arial" w:cs="Arial"/>
          <w:sz w:val="24"/>
          <w:szCs w:val="24"/>
        </w:rPr>
        <w:t xml:space="preserve"> a ciest, trvalo-udržateľný manažment lúk a pasienkov, apod. </w:t>
      </w:r>
      <w:r w:rsidR="00740D66">
        <w:rPr>
          <w:rFonts w:ascii="Arial" w:hAnsi="Arial" w:cs="Arial"/>
          <w:sz w:val="24"/>
          <w:szCs w:val="24"/>
        </w:rPr>
        <w:t xml:space="preserve">Ciele možno prispôsobovať výrobnej oblasti, typu pôdy, prevažujúcemu systému hospodárenia apod. </w:t>
      </w:r>
      <w:r w:rsidR="00660272">
        <w:rPr>
          <w:rFonts w:ascii="Arial" w:hAnsi="Arial" w:cs="Arial"/>
          <w:sz w:val="24"/>
          <w:szCs w:val="24"/>
        </w:rPr>
        <w:t>Tá</w:t>
      </w:r>
      <w:r w:rsidR="00740D66">
        <w:rPr>
          <w:rFonts w:ascii="Arial" w:hAnsi="Arial" w:cs="Arial"/>
          <w:sz w:val="24"/>
          <w:szCs w:val="24"/>
        </w:rPr>
        <w:t>to podpora môže mať formu fix</w:t>
      </w:r>
      <w:r w:rsidR="00660272">
        <w:rPr>
          <w:rFonts w:ascii="Arial" w:hAnsi="Arial" w:cs="Arial"/>
          <w:sz w:val="24"/>
          <w:szCs w:val="24"/>
        </w:rPr>
        <w:t>nej platby na hektár</w:t>
      </w:r>
      <w:r w:rsidR="00740D66">
        <w:rPr>
          <w:rFonts w:ascii="Arial" w:hAnsi="Arial" w:cs="Arial"/>
          <w:sz w:val="24"/>
          <w:szCs w:val="24"/>
        </w:rPr>
        <w:t xml:space="preserve"> (ako „top-</w:t>
      </w:r>
      <w:proofErr w:type="spellStart"/>
      <w:r w:rsidR="00740D66">
        <w:rPr>
          <w:rFonts w:ascii="Arial" w:hAnsi="Arial" w:cs="Arial"/>
          <w:sz w:val="24"/>
          <w:szCs w:val="24"/>
        </w:rPr>
        <w:t>up</w:t>
      </w:r>
      <w:proofErr w:type="spellEnd"/>
      <w:r w:rsidR="00740D66">
        <w:rPr>
          <w:rFonts w:ascii="Arial" w:hAnsi="Arial" w:cs="Arial"/>
          <w:sz w:val="24"/>
          <w:szCs w:val="24"/>
        </w:rPr>
        <w:t>“ k základnej platbe), alebo formu kompenzácie u</w:t>
      </w:r>
      <w:r w:rsidR="00660272">
        <w:rPr>
          <w:rFonts w:ascii="Arial" w:hAnsi="Arial" w:cs="Arial"/>
          <w:sz w:val="24"/>
          <w:szCs w:val="24"/>
        </w:rPr>
        <w:t>šlý</w:t>
      </w:r>
      <w:r w:rsidR="00740D66">
        <w:rPr>
          <w:rFonts w:ascii="Arial" w:hAnsi="Arial" w:cs="Arial"/>
          <w:sz w:val="24"/>
          <w:szCs w:val="24"/>
        </w:rPr>
        <w:t>ch príjmov</w:t>
      </w:r>
      <w:r w:rsidR="006602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Možno tiež zvážiť prenos niektorých požiadaviek </w:t>
      </w:r>
      <w:proofErr w:type="spellStart"/>
      <w:r>
        <w:rPr>
          <w:rFonts w:ascii="Arial" w:hAnsi="Arial" w:cs="Arial"/>
          <w:sz w:val="24"/>
          <w:szCs w:val="24"/>
        </w:rPr>
        <w:t>agroenvironmentu</w:t>
      </w:r>
      <w:proofErr w:type="spellEnd"/>
      <w:r>
        <w:rPr>
          <w:rFonts w:ascii="Arial" w:hAnsi="Arial" w:cs="Arial"/>
          <w:sz w:val="24"/>
          <w:szCs w:val="24"/>
        </w:rPr>
        <w:t xml:space="preserve"> z II. piliera, ako je napr. prvé zalesnenie, či hospodárenie v ekologickom systéme</w:t>
      </w:r>
      <w:r w:rsidR="001E5CFD">
        <w:rPr>
          <w:rFonts w:ascii="Arial" w:hAnsi="Arial" w:cs="Arial"/>
          <w:sz w:val="24"/>
          <w:szCs w:val="24"/>
        </w:rPr>
        <w:t xml:space="preserve"> (</w:t>
      </w:r>
      <w:r w:rsidR="001E5CFD" w:rsidRPr="001E5CFD">
        <w:rPr>
          <w:rFonts w:ascii="Arial" w:hAnsi="Arial" w:cs="Arial"/>
          <w:i/>
          <w:sz w:val="24"/>
          <w:szCs w:val="24"/>
        </w:rPr>
        <w:t xml:space="preserve">pozn. treba brať do úvahy, že platby v I. pilieri sú plne hradené z rozpočtu EÚ a netreba ich </w:t>
      </w:r>
      <w:proofErr w:type="spellStart"/>
      <w:r w:rsidR="001E5CFD" w:rsidRPr="001E5CFD">
        <w:rPr>
          <w:rFonts w:ascii="Arial" w:hAnsi="Arial" w:cs="Arial"/>
          <w:i/>
          <w:sz w:val="24"/>
          <w:szCs w:val="24"/>
        </w:rPr>
        <w:t>kofinancovať</w:t>
      </w:r>
      <w:proofErr w:type="spellEnd"/>
      <w:r w:rsidR="001E5CFD" w:rsidRPr="001E5CFD">
        <w:rPr>
          <w:rFonts w:ascii="Arial" w:hAnsi="Arial" w:cs="Arial"/>
          <w:i/>
          <w:sz w:val="24"/>
          <w:szCs w:val="24"/>
        </w:rPr>
        <w:t xml:space="preserve"> zo štátneho rozpočtu</w:t>
      </w:r>
      <w:r w:rsidR="001E5CFD">
        <w:rPr>
          <w:rFonts w:ascii="Arial" w:hAnsi="Arial" w:cs="Arial"/>
          <w:sz w:val="24"/>
          <w:szCs w:val="24"/>
        </w:rPr>
        <w:t>).</w:t>
      </w:r>
      <w:r w:rsidR="001F028C">
        <w:rPr>
          <w:rFonts w:ascii="Arial" w:hAnsi="Arial" w:cs="Arial"/>
          <w:sz w:val="24"/>
          <w:szCs w:val="24"/>
        </w:rPr>
        <w:t xml:space="preserve"> Taktiež</w:t>
      </w:r>
      <w:r w:rsidR="001F028C">
        <w:rPr>
          <w:rFonts w:ascii="Arial" w:hAnsi="Arial" w:cs="Arial"/>
          <w:sz w:val="24"/>
          <w:szCs w:val="24"/>
        </w:rPr>
        <w:t xml:space="preserve"> treba spomenúť aj ďalšiu z podmienok EK, že platba sa bude môcť vyplatiť len na </w:t>
      </w:r>
      <w:r w:rsidR="001F028C" w:rsidRPr="005546E5">
        <w:rPr>
          <w:rFonts w:ascii="Arial" w:hAnsi="Arial" w:cs="Arial"/>
          <w:b/>
          <w:sz w:val="24"/>
          <w:szCs w:val="24"/>
        </w:rPr>
        <w:t>„oprávnenú pôdu“</w:t>
      </w:r>
      <w:r w:rsidR="001F028C">
        <w:rPr>
          <w:rFonts w:ascii="Arial" w:hAnsi="Arial" w:cs="Arial"/>
          <w:sz w:val="24"/>
          <w:szCs w:val="24"/>
        </w:rPr>
        <w:t>, ktorej definícia je tiež viac-menej v rukách daného štátu, no na návrhu sa zatiaľ nezjednotili ani hlavné zainteresované európske inštitúcie.</w:t>
      </w:r>
    </w:p>
    <w:p w:rsidR="00C6161B" w:rsidRDefault="005546E5" w:rsidP="00E83F7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5546E5">
        <w:rPr>
          <w:rFonts w:ascii="Arial" w:hAnsi="Arial" w:cs="Arial"/>
          <w:b/>
          <w:sz w:val="24"/>
          <w:szCs w:val="24"/>
        </w:rPr>
        <w:t xml:space="preserve">Podpora </w:t>
      </w:r>
      <w:r w:rsidR="00E11D14">
        <w:rPr>
          <w:rFonts w:ascii="Arial" w:hAnsi="Arial" w:cs="Arial"/>
          <w:b/>
          <w:sz w:val="24"/>
          <w:szCs w:val="24"/>
        </w:rPr>
        <w:t xml:space="preserve">dobrovoľne </w:t>
      </w:r>
      <w:r w:rsidRPr="005546E5">
        <w:rPr>
          <w:rFonts w:ascii="Arial" w:hAnsi="Arial" w:cs="Arial"/>
          <w:b/>
          <w:sz w:val="24"/>
          <w:szCs w:val="24"/>
        </w:rPr>
        <w:t>viazaná na produkciu</w:t>
      </w:r>
      <w:r>
        <w:rPr>
          <w:rFonts w:ascii="Arial" w:hAnsi="Arial" w:cs="Arial"/>
          <w:sz w:val="24"/>
          <w:szCs w:val="24"/>
        </w:rPr>
        <w:t xml:space="preserve"> bude zasa limitovaná zhora, teda</w:t>
      </w:r>
      <w:r w:rsidR="0069517D">
        <w:rPr>
          <w:rFonts w:ascii="Arial" w:hAnsi="Arial" w:cs="Arial"/>
          <w:sz w:val="24"/>
          <w:szCs w:val="24"/>
        </w:rPr>
        <w:t xml:space="preserve"> </w:t>
      </w:r>
      <w:r w:rsidR="0069517D">
        <w:rPr>
          <w:rFonts w:ascii="Arial" w:hAnsi="Arial" w:cs="Arial"/>
          <w:sz w:val="24"/>
          <w:szCs w:val="24"/>
        </w:rPr>
        <w:t>z balíka pre priame platby</w:t>
      </w:r>
      <w:r>
        <w:rPr>
          <w:rFonts w:ascii="Arial" w:hAnsi="Arial" w:cs="Arial"/>
          <w:sz w:val="24"/>
          <w:szCs w:val="24"/>
        </w:rPr>
        <w:t xml:space="preserve"> </w:t>
      </w:r>
      <w:r w:rsidRPr="005546E5">
        <w:rPr>
          <w:rFonts w:ascii="Arial" w:hAnsi="Arial" w:cs="Arial"/>
          <w:b/>
          <w:sz w:val="24"/>
          <w:szCs w:val="24"/>
        </w:rPr>
        <w:t>max. 10 + 2%</w:t>
      </w:r>
      <w:r>
        <w:rPr>
          <w:rFonts w:ascii="Arial" w:hAnsi="Arial" w:cs="Arial"/>
          <w:sz w:val="24"/>
          <w:szCs w:val="24"/>
        </w:rPr>
        <w:t xml:space="preserve"> </w:t>
      </w:r>
      <w:r w:rsidR="0069517D">
        <w:rPr>
          <w:rFonts w:ascii="Arial" w:hAnsi="Arial" w:cs="Arial"/>
          <w:sz w:val="24"/>
          <w:szCs w:val="24"/>
        </w:rPr>
        <w:t>na bielkovinové plodiny</w:t>
      </w:r>
      <w:r>
        <w:rPr>
          <w:rFonts w:ascii="Arial" w:hAnsi="Arial" w:cs="Arial"/>
          <w:sz w:val="24"/>
          <w:szCs w:val="24"/>
        </w:rPr>
        <w:t xml:space="preserve">. </w:t>
      </w:r>
      <w:r w:rsidR="001E5CFD">
        <w:rPr>
          <w:rFonts w:ascii="Arial" w:hAnsi="Arial" w:cs="Arial"/>
          <w:sz w:val="24"/>
          <w:szCs w:val="24"/>
        </w:rPr>
        <w:t>To znamená, že ak chceme zachovať platby na pestovanie vybraných druhov ovocia a zeleniny, alebo vybraných kategórií hospodárskych zvierat, podpora by mala byť napojená čo najviac na produkciu (kg zeleniny, ovocia, mäsa, syra, či litrov mlieka)</w:t>
      </w:r>
      <w:r w:rsidR="008A0769">
        <w:rPr>
          <w:rFonts w:ascii="Arial" w:hAnsi="Arial" w:cs="Arial"/>
          <w:sz w:val="24"/>
          <w:szCs w:val="24"/>
        </w:rPr>
        <w:t xml:space="preserve">, nie na počet, či kusy. Zásadnou zmenou v systéme podpôr je totiž aj </w:t>
      </w:r>
      <w:r w:rsidR="008A0769" w:rsidRPr="00DF2AE0">
        <w:rPr>
          <w:rFonts w:ascii="Arial" w:hAnsi="Arial" w:cs="Arial"/>
          <w:b/>
          <w:sz w:val="24"/>
          <w:szCs w:val="24"/>
        </w:rPr>
        <w:t xml:space="preserve">zacielenie na </w:t>
      </w:r>
      <w:r w:rsidR="00DF2AE0">
        <w:rPr>
          <w:rFonts w:ascii="Arial" w:hAnsi="Arial" w:cs="Arial"/>
          <w:b/>
          <w:sz w:val="24"/>
          <w:szCs w:val="24"/>
        </w:rPr>
        <w:t xml:space="preserve">dosahované </w:t>
      </w:r>
      <w:r w:rsidR="008A0769" w:rsidRPr="00DF2AE0">
        <w:rPr>
          <w:rFonts w:ascii="Arial" w:hAnsi="Arial" w:cs="Arial"/>
          <w:b/>
          <w:sz w:val="24"/>
          <w:szCs w:val="24"/>
        </w:rPr>
        <w:t>výsledky</w:t>
      </w:r>
      <w:r w:rsidR="008A0769">
        <w:rPr>
          <w:rFonts w:ascii="Arial" w:hAnsi="Arial" w:cs="Arial"/>
          <w:sz w:val="24"/>
          <w:szCs w:val="24"/>
        </w:rPr>
        <w:t>, ktoré Európska Komisia presadzuje.</w:t>
      </w:r>
      <w:r w:rsidR="00C6161B">
        <w:rPr>
          <w:rFonts w:ascii="Arial" w:hAnsi="Arial" w:cs="Arial"/>
          <w:sz w:val="24"/>
          <w:szCs w:val="24"/>
        </w:rPr>
        <w:t xml:space="preserve"> No opäť je na rozhodnutí vlády SR, ktoré komodity a v akej miere </w:t>
      </w:r>
      <w:r w:rsidR="00DF2AE0">
        <w:rPr>
          <w:rFonts w:ascii="Arial" w:hAnsi="Arial" w:cs="Arial"/>
          <w:sz w:val="24"/>
          <w:szCs w:val="24"/>
        </w:rPr>
        <w:t>bude chcieť</w:t>
      </w:r>
      <w:r w:rsidR="00C6161B">
        <w:rPr>
          <w:rFonts w:ascii="Arial" w:hAnsi="Arial" w:cs="Arial"/>
          <w:sz w:val="24"/>
          <w:szCs w:val="24"/>
        </w:rPr>
        <w:t xml:space="preserve"> podporiť v budúcom období.</w:t>
      </w:r>
      <w:r w:rsidR="00DC4BA5">
        <w:rPr>
          <w:rFonts w:ascii="Arial" w:hAnsi="Arial" w:cs="Arial"/>
          <w:sz w:val="24"/>
          <w:szCs w:val="24"/>
        </w:rPr>
        <w:t xml:space="preserve"> IPP odporúča využiť maximálnu možnú mieru viazaných priamych platieb, najmä pre ekonomicky málo atraktívne sektory, ktoré však majú svoj špecifický ekonomický, sociálny, alebo environmentálny význam.</w:t>
      </w:r>
    </w:p>
    <w:p w:rsidR="001F028C" w:rsidRDefault="001F028C" w:rsidP="00E83F7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Legislatívny návrh nateraz obsahuje aj vyňatie časti z balíka pre priame platby (</w:t>
      </w:r>
      <w:r w:rsidRPr="00CB6F8E">
        <w:rPr>
          <w:rFonts w:ascii="Arial" w:hAnsi="Arial" w:cs="Arial"/>
          <w:b/>
          <w:sz w:val="24"/>
          <w:szCs w:val="24"/>
        </w:rPr>
        <w:t>min. 3%</w:t>
      </w:r>
      <w:r>
        <w:rPr>
          <w:rFonts w:ascii="Arial" w:hAnsi="Arial" w:cs="Arial"/>
          <w:sz w:val="24"/>
          <w:szCs w:val="24"/>
        </w:rPr>
        <w:t>) na podporu</w:t>
      </w:r>
      <w:r w:rsidR="00CB6F8E">
        <w:rPr>
          <w:rFonts w:ascii="Arial" w:hAnsi="Arial" w:cs="Arial"/>
          <w:sz w:val="24"/>
          <w:szCs w:val="24"/>
        </w:rPr>
        <w:t xml:space="preserve"> aktivít</w:t>
      </w:r>
      <w:r>
        <w:rPr>
          <w:rFonts w:ascii="Arial" w:hAnsi="Arial" w:cs="Arial"/>
          <w:sz w:val="24"/>
          <w:szCs w:val="24"/>
        </w:rPr>
        <w:t xml:space="preserve"> </w:t>
      </w:r>
      <w:r w:rsidRPr="00CB6F8E">
        <w:rPr>
          <w:rFonts w:ascii="Arial" w:hAnsi="Arial" w:cs="Arial"/>
          <w:b/>
          <w:sz w:val="24"/>
          <w:szCs w:val="24"/>
        </w:rPr>
        <w:t>organizácií výrobcov</w:t>
      </w:r>
      <w:r>
        <w:rPr>
          <w:rFonts w:ascii="Arial" w:hAnsi="Arial" w:cs="Arial"/>
          <w:sz w:val="24"/>
          <w:szCs w:val="24"/>
        </w:rPr>
        <w:t xml:space="preserve"> v širokom spektre sektorov, ako je ovocie a zelenina, obilniny, hovädzie mäso, bravčové mäso, ovčie mäso, hydinové mäso, či vajcia.</w:t>
      </w:r>
      <w:r w:rsidR="00164834">
        <w:rPr>
          <w:rFonts w:ascii="Arial" w:hAnsi="Arial" w:cs="Arial"/>
          <w:sz w:val="24"/>
          <w:szCs w:val="24"/>
        </w:rPr>
        <w:t xml:space="preserve"> Zatiaľ sa diskutuje o povinnosti, či dobrovoľnosti zakladať organizácie výrobcov (</w:t>
      </w:r>
      <w:r w:rsidR="00164834" w:rsidRPr="00164834">
        <w:rPr>
          <w:rFonts w:ascii="Arial" w:hAnsi="Arial" w:cs="Arial"/>
          <w:i/>
          <w:sz w:val="24"/>
          <w:szCs w:val="24"/>
        </w:rPr>
        <w:t xml:space="preserve">pozn. Združenie pestovateľov obilnín zaujalo negatívne stanovisko k povinnému </w:t>
      </w:r>
      <w:r w:rsidR="00164834">
        <w:rPr>
          <w:rFonts w:ascii="Arial" w:hAnsi="Arial" w:cs="Arial"/>
          <w:i/>
          <w:sz w:val="24"/>
          <w:szCs w:val="24"/>
        </w:rPr>
        <w:t>zakladaniu organizácií</w:t>
      </w:r>
      <w:r w:rsidR="00164834" w:rsidRPr="00164834">
        <w:rPr>
          <w:rFonts w:ascii="Arial" w:hAnsi="Arial" w:cs="Arial"/>
          <w:i/>
          <w:sz w:val="24"/>
          <w:szCs w:val="24"/>
        </w:rPr>
        <w:t xml:space="preserve"> výrobcov v sektore obilia</w:t>
      </w:r>
      <w:r w:rsidR="00164834">
        <w:rPr>
          <w:rFonts w:ascii="Arial" w:hAnsi="Arial" w:cs="Arial"/>
          <w:sz w:val="24"/>
          <w:szCs w:val="24"/>
        </w:rPr>
        <w:t>).</w:t>
      </w:r>
    </w:p>
    <w:p w:rsidR="00C6161B" w:rsidRDefault="00FA4BC6" w:rsidP="00E83F7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Nateraz panuje zhoda v tom, že </w:t>
      </w:r>
      <w:r w:rsidRPr="00FA4BC6">
        <w:rPr>
          <w:rFonts w:ascii="Arial" w:hAnsi="Arial" w:cs="Arial"/>
          <w:b/>
          <w:sz w:val="24"/>
          <w:szCs w:val="24"/>
        </w:rPr>
        <w:t xml:space="preserve">min. 2% </w:t>
      </w:r>
      <w:r>
        <w:rPr>
          <w:rFonts w:ascii="Arial" w:hAnsi="Arial" w:cs="Arial"/>
          <w:sz w:val="24"/>
          <w:szCs w:val="24"/>
        </w:rPr>
        <w:t>z balíka pre I. pilier bude určených</w:t>
      </w:r>
      <w:r w:rsidR="006A2CDD">
        <w:rPr>
          <w:rFonts w:ascii="Arial" w:hAnsi="Arial" w:cs="Arial"/>
          <w:sz w:val="24"/>
          <w:szCs w:val="24"/>
        </w:rPr>
        <w:t xml:space="preserve"> na </w:t>
      </w:r>
      <w:r w:rsidR="006A2CDD" w:rsidRPr="00164834">
        <w:rPr>
          <w:rFonts w:ascii="Arial" w:hAnsi="Arial" w:cs="Arial"/>
          <w:b/>
          <w:sz w:val="24"/>
          <w:szCs w:val="24"/>
        </w:rPr>
        <w:t>doplnkovú podporu</w:t>
      </w:r>
      <w:r>
        <w:rPr>
          <w:rFonts w:ascii="Arial" w:hAnsi="Arial" w:cs="Arial"/>
          <w:sz w:val="24"/>
          <w:szCs w:val="24"/>
        </w:rPr>
        <w:t xml:space="preserve"> </w:t>
      </w:r>
      <w:r w:rsidRPr="00FA4BC6">
        <w:rPr>
          <w:rFonts w:ascii="Arial" w:hAnsi="Arial" w:cs="Arial"/>
          <w:b/>
          <w:sz w:val="24"/>
          <w:szCs w:val="24"/>
        </w:rPr>
        <w:t>pre mladých a začínajúcich poľnohospodárov</w:t>
      </w:r>
      <w:r w:rsidR="00360AE3">
        <w:rPr>
          <w:rFonts w:ascii="Arial" w:hAnsi="Arial" w:cs="Arial"/>
          <w:b/>
          <w:sz w:val="24"/>
          <w:szCs w:val="24"/>
        </w:rPr>
        <w:t xml:space="preserve"> </w:t>
      </w:r>
      <w:r w:rsidR="00360AE3" w:rsidRPr="00360AE3">
        <w:rPr>
          <w:rFonts w:ascii="Arial" w:hAnsi="Arial" w:cs="Arial"/>
          <w:sz w:val="24"/>
          <w:szCs w:val="24"/>
        </w:rPr>
        <w:t>(</w:t>
      </w:r>
      <w:r w:rsidR="00360AE3" w:rsidRPr="00360AE3">
        <w:rPr>
          <w:rFonts w:ascii="Arial" w:hAnsi="Arial" w:cs="Arial"/>
          <w:i/>
          <w:sz w:val="24"/>
          <w:szCs w:val="24"/>
        </w:rPr>
        <w:t xml:space="preserve">tzv. </w:t>
      </w:r>
      <w:r w:rsidR="006A2CDD">
        <w:rPr>
          <w:rFonts w:ascii="Arial" w:hAnsi="Arial" w:cs="Arial"/>
          <w:i/>
          <w:sz w:val="24"/>
          <w:szCs w:val="24"/>
        </w:rPr>
        <w:t>„</w:t>
      </w:r>
      <w:r w:rsidR="00360AE3" w:rsidRPr="00360AE3">
        <w:rPr>
          <w:rFonts w:ascii="Arial" w:hAnsi="Arial" w:cs="Arial"/>
          <w:i/>
          <w:sz w:val="24"/>
          <w:szCs w:val="24"/>
        </w:rPr>
        <w:t>CISYF</w:t>
      </w:r>
      <w:r w:rsidR="006A2CDD">
        <w:rPr>
          <w:rFonts w:ascii="Arial" w:hAnsi="Arial" w:cs="Arial"/>
          <w:i/>
          <w:sz w:val="24"/>
          <w:szCs w:val="24"/>
        </w:rPr>
        <w:t>“</w:t>
      </w:r>
      <w:r w:rsidR="00360AE3" w:rsidRPr="00360AE3">
        <w:rPr>
          <w:rFonts w:ascii="Arial" w:hAnsi="Arial" w:cs="Arial"/>
          <w:i/>
          <w:sz w:val="24"/>
          <w:szCs w:val="24"/>
        </w:rPr>
        <w:t xml:space="preserve"> z anglického </w:t>
      </w:r>
      <w:proofErr w:type="spellStart"/>
      <w:r w:rsidR="00360AE3" w:rsidRPr="00360AE3">
        <w:rPr>
          <w:rFonts w:ascii="Arial" w:hAnsi="Arial" w:cs="Arial"/>
          <w:i/>
          <w:sz w:val="24"/>
          <w:szCs w:val="24"/>
        </w:rPr>
        <w:t>Complementary</w:t>
      </w:r>
      <w:proofErr w:type="spellEnd"/>
      <w:r w:rsidR="00360AE3" w:rsidRPr="00360AE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60AE3" w:rsidRPr="00360AE3">
        <w:rPr>
          <w:rFonts w:ascii="Arial" w:hAnsi="Arial" w:cs="Arial"/>
          <w:i/>
          <w:sz w:val="24"/>
          <w:szCs w:val="24"/>
        </w:rPr>
        <w:t>Income</w:t>
      </w:r>
      <w:proofErr w:type="spellEnd"/>
      <w:r w:rsidR="00360AE3" w:rsidRPr="00360AE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60AE3" w:rsidRPr="00360AE3">
        <w:rPr>
          <w:rFonts w:ascii="Arial" w:hAnsi="Arial" w:cs="Arial"/>
          <w:i/>
          <w:sz w:val="24"/>
          <w:szCs w:val="24"/>
        </w:rPr>
        <w:t>Support</w:t>
      </w:r>
      <w:proofErr w:type="spellEnd"/>
      <w:r w:rsidR="00360AE3" w:rsidRPr="00360AE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60AE3" w:rsidRPr="00360AE3">
        <w:rPr>
          <w:rFonts w:ascii="Arial" w:hAnsi="Arial" w:cs="Arial"/>
          <w:i/>
          <w:sz w:val="24"/>
          <w:szCs w:val="24"/>
        </w:rPr>
        <w:t>for</w:t>
      </w:r>
      <w:proofErr w:type="spellEnd"/>
      <w:r w:rsidR="00360AE3" w:rsidRPr="00360AE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60AE3" w:rsidRPr="00360AE3">
        <w:rPr>
          <w:rFonts w:ascii="Arial" w:hAnsi="Arial" w:cs="Arial"/>
          <w:i/>
          <w:sz w:val="24"/>
          <w:szCs w:val="24"/>
        </w:rPr>
        <w:t>Young</w:t>
      </w:r>
      <w:proofErr w:type="spellEnd"/>
      <w:r w:rsidR="00360AE3" w:rsidRPr="00360AE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60AE3" w:rsidRPr="00360AE3">
        <w:rPr>
          <w:rFonts w:ascii="Arial" w:hAnsi="Arial" w:cs="Arial"/>
          <w:i/>
          <w:sz w:val="24"/>
          <w:szCs w:val="24"/>
        </w:rPr>
        <w:t>Farmers</w:t>
      </w:r>
      <w:proofErr w:type="spellEnd"/>
      <w:r w:rsidR="00360AE3">
        <w:rPr>
          <w:rFonts w:ascii="Arial" w:hAnsi="Arial" w:cs="Arial"/>
          <w:sz w:val="24"/>
          <w:szCs w:val="24"/>
        </w:rPr>
        <w:t>)</w:t>
      </w:r>
      <w:r w:rsidR="001343C0">
        <w:rPr>
          <w:rFonts w:ascii="Arial" w:hAnsi="Arial" w:cs="Arial"/>
          <w:sz w:val="24"/>
          <w:szCs w:val="24"/>
        </w:rPr>
        <w:t xml:space="preserve">. Táto časť priamych platieb teda bude presne zacielená na tých, ktorí vyhovejú podmienkam </w:t>
      </w:r>
      <w:r w:rsidR="00164834">
        <w:rPr>
          <w:rFonts w:ascii="Arial" w:hAnsi="Arial" w:cs="Arial"/>
          <w:sz w:val="24"/>
          <w:szCs w:val="24"/>
        </w:rPr>
        <w:t>v rámci uvedenej skupiny</w:t>
      </w:r>
      <w:r w:rsidR="001343C0">
        <w:rPr>
          <w:rFonts w:ascii="Arial" w:hAnsi="Arial" w:cs="Arial"/>
          <w:sz w:val="24"/>
          <w:szCs w:val="24"/>
        </w:rPr>
        <w:t xml:space="preserve">. Jej cieľom je tiež zatraktívniť sektor pre mladých a tých, ktorí zvažujú </w:t>
      </w:r>
      <w:r w:rsidR="00164834">
        <w:rPr>
          <w:rFonts w:ascii="Arial" w:hAnsi="Arial" w:cs="Arial"/>
          <w:sz w:val="24"/>
          <w:szCs w:val="24"/>
        </w:rPr>
        <w:t>tento spôsob podnikania na pôde a prispieť ku generačnej obmene.</w:t>
      </w:r>
      <w:r w:rsidR="00E65787">
        <w:rPr>
          <w:rFonts w:ascii="Arial" w:hAnsi="Arial" w:cs="Arial"/>
          <w:sz w:val="24"/>
          <w:szCs w:val="24"/>
        </w:rPr>
        <w:t xml:space="preserve"> V súčasnom období najväčšou mierou (14,4%) prispievajú mladým farmárom v Českej republike.</w:t>
      </w:r>
    </w:p>
    <w:p w:rsidR="008A0769" w:rsidRDefault="000B1805" w:rsidP="00E83F7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1805">
        <w:rPr>
          <w:rFonts w:ascii="Arial" w:hAnsi="Arial" w:cs="Arial"/>
          <w:sz w:val="24"/>
          <w:szCs w:val="24"/>
        </w:rPr>
        <w:t>Redistributívnu</w:t>
      </w:r>
      <w:proofErr w:type="spellEnd"/>
      <w:r w:rsidRPr="000B1805">
        <w:rPr>
          <w:rFonts w:ascii="Arial" w:hAnsi="Arial" w:cs="Arial"/>
          <w:sz w:val="24"/>
          <w:szCs w:val="24"/>
        </w:rPr>
        <w:t xml:space="preserve"> platbu už dnes </w:t>
      </w:r>
      <w:r w:rsidR="00E65787">
        <w:rPr>
          <w:rFonts w:ascii="Arial" w:hAnsi="Arial" w:cs="Arial"/>
          <w:sz w:val="24"/>
          <w:szCs w:val="24"/>
        </w:rPr>
        <w:t xml:space="preserve">dobrovoľne </w:t>
      </w:r>
      <w:r w:rsidRPr="000B1805">
        <w:rPr>
          <w:rFonts w:ascii="Arial" w:hAnsi="Arial" w:cs="Arial"/>
          <w:sz w:val="24"/>
          <w:szCs w:val="24"/>
        </w:rPr>
        <w:t>uplatňuje asi tretina členských štátov EÚ</w:t>
      </w:r>
      <w:r>
        <w:rPr>
          <w:rFonts w:ascii="Arial" w:hAnsi="Arial" w:cs="Arial"/>
          <w:sz w:val="24"/>
          <w:szCs w:val="24"/>
        </w:rPr>
        <w:t xml:space="preserve"> (napr. aj Poľsko)</w:t>
      </w:r>
      <w:r w:rsidRPr="000B18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2CDD" w:rsidRPr="006A2CDD">
        <w:rPr>
          <w:rFonts w:ascii="Arial" w:hAnsi="Arial" w:cs="Arial"/>
          <w:b/>
          <w:sz w:val="24"/>
          <w:szCs w:val="24"/>
        </w:rPr>
        <w:t xml:space="preserve">Doplnková </w:t>
      </w:r>
      <w:proofErr w:type="spellStart"/>
      <w:r w:rsidR="006A2CDD" w:rsidRPr="006A2CDD">
        <w:rPr>
          <w:rFonts w:ascii="Arial" w:hAnsi="Arial" w:cs="Arial"/>
          <w:b/>
          <w:sz w:val="24"/>
          <w:szCs w:val="24"/>
        </w:rPr>
        <w:t>redistributívna</w:t>
      </w:r>
      <w:proofErr w:type="spellEnd"/>
      <w:r w:rsidR="006A2CDD" w:rsidRPr="006A2CDD">
        <w:rPr>
          <w:rFonts w:ascii="Arial" w:hAnsi="Arial" w:cs="Arial"/>
          <w:b/>
          <w:sz w:val="24"/>
          <w:szCs w:val="24"/>
        </w:rPr>
        <w:t xml:space="preserve"> platba </w:t>
      </w:r>
      <w:r w:rsidR="006A2CDD">
        <w:rPr>
          <w:rFonts w:ascii="Arial" w:hAnsi="Arial" w:cs="Arial"/>
          <w:sz w:val="24"/>
          <w:szCs w:val="24"/>
        </w:rPr>
        <w:t xml:space="preserve">(tzv. „CRISS“ z anglického </w:t>
      </w:r>
      <w:proofErr w:type="spellStart"/>
      <w:r w:rsidR="006A2CDD">
        <w:rPr>
          <w:rFonts w:ascii="Arial" w:hAnsi="Arial" w:cs="Arial"/>
          <w:sz w:val="24"/>
          <w:szCs w:val="24"/>
        </w:rPr>
        <w:t>Complementary</w:t>
      </w:r>
      <w:proofErr w:type="spellEnd"/>
      <w:r w:rsidR="006A2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CDD">
        <w:rPr>
          <w:rFonts w:ascii="Arial" w:hAnsi="Arial" w:cs="Arial"/>
          <w:sz w:val="24"/>
          <w:szCs w:val="24"/>
        </w:rPr>
        <w:t>Redistributive</w:t>
      </w:r>
      <w:proofErr w:type="spellEnd"/>
      <w:r w:rsidR="006A2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CDD">
        <w:rPr>
          <w:rFonts w:ascii="Arial" w:hAnsi="Arial" w:cs="Arial"/>
          <w:sz w:val="24"/>
          <w:szCs w:val="24"/>
        </w:rPr>
        <w:t>Income</w:t>
      </w:r>
      <w:proofErr w:type="spellEnd"/>
      <w:r w:rsidR="006A2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CDD">
        <w:rPr>
          <w:rFonts w:ascii="Arial" w:hAnsi="Arial" w:cs="Arial"/>
          <w:sz w:val="24"/>
          <w:szCs w:val="24"/>
        </w:rPr>
        <w:t>Support</w:t>
      </w:r>
      <w:proofErr w:type="spellEnd"/>
      <w:r w:rsidR="006A2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CDD">
        <w:rPr>
          <w:rFonts w:ascii="Arial" w:hAnsi="Arial" w:cs="Arial"/>
          <w:sz w:val="24"/>
          <w:szCs w:val="24"/>
        </w:rPr>
        <w:t>for</w:t>
      </w:r>
      <w:proofErr w:type="spellEnd"/>
      <w:r w:rsidR="006A2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CDD">
        <w:rPr>
          <w:rFonts w:ascii="Arial" w:hAnsi="Arial" w:cs="Arial"/>
          <w:sz w:val="24"/>
          <w:szCs w:val="24"/>
        </w:rPr>
        <w:t>Sustainability</w:t>
      </w:r>
      <w:proofErr w:type="spellEnd"/>
      <w:r w:rsidR="006A2CDD">
        <w:rPr>
          <w:rFonts w:ascii="Arial" w:hAnsi="Arial" w:cs="Arial"/>
          <w:sz w:val="24"/>
          <w:szCs w:val="24"/>
        </w:rPr>
        <w:t xml:space="preserve">) je ďalším kúskom z „koláča“ priamych platieb, o ktorý sa budú musieť podeliť veľké poľnohospodárske subjekty s menšími. </w:t>
      </w:r>
      <w:r w:rsidR="00DC4BA5">
        <w:rPr>
          <w:rFonts w:ascii="Arial" w:hAnsi="Arial" w:cs="Arial"/>
          <w:sz w:val="24"/>
          <w:szCs w:val="24"/>
        </w:rPr>
        <w:t xml:space="preserve">Hlavným zámerom je podpora malých a stredných fariem, ktoré nemajú dobrý prístup k úverom, ani dostatočné príjmy. </w:t>
      </w:r>
      <w:proofErr w:type="spellStart"/>
      <w:r w:rsidR="00DC4BA5">
        <w:rPr>
          <w:rFonts w:ascii="Arial" w:hAnsi="Arial" w:cs="Arial"/>
          <w:sz w:val="24"/>
          <w:szCs w:val="24"/>
        </w:rPr>
        <w:t>Redistributívna</w:t>
      </w:r>
      <w:proofErr w:type="spellEnd"/>
      <w:r w:rsidR="00DC4BA5">
        <w:rPr>
          <w:rFonts w:ascii="Arial" w:hAnsi="Arial" w:cs="Arial"/>
          <w:sz w:val="24"/>
          <w:szCs w:val="24"/>
        </w:rPr>
        <w:t xml:space="preserve"> platba by sa mala, podľa </w:t>
      </w:r>
      <w:r w:rsidR="00DC4BA5" w:rsidRPr="00DC4BA5">
        <w:rPr>
          <w:rFonts w:ascii="Arial" w:hAnsi="Arial" w:cs="Arial"/>
          <w:color w:val="002060"/>
          <w:sz w:val="24"/>
          <w:szCs w:val="24"/>
        </w:rPr>
        <w:t>odporúčania IPP</w:t>
      </w:r>
      <w:r w:rsidR="00DC4BA5">
        <w:rPr>
          <w:rFonts w:ascii="Arial" w:hAnsi="Arial" w:cs="Arial"/>
          <w:sz w:val="24"/>
          <w:szCs w:val="24"/>
        </w:rPr>
        <w:t xml:space="preserve">, zaviesť </w:t>
      </w:r>
      <w:r>
        <w:rPr>
          <w:rFonts w:ascii="Arial" w:hAnsi="Arial" w:cs="Arial"/>
          <w:sz w:val="24"/>
          <w:szCs w:val="24"/>
        </w:rPr>
        <w:t xml:space="preserve">ako hektárová platba </w:t>
      </w:r>
      <w:r>
        <w:rPr>
          <w:rFonts w:ascii="Arial" w:hAnsi="Arial" w:cs="Arial"/>
          <w:sz w:val="24"/>
          <w:szCs w:val="24"/>
        </w:rPr>
        <w:t>so sadzbou 30% priemernej priamej platby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najviac do prvých 100 ha podniku</w:t>
      </w:r>
      <w:r w:rsidR="00DC4BA5">
        <w:rPr>
          <w:rFonts w:ascii="Arial" w:hAnsi="Arial" w:cs="Arial"/>
          <w:sz w:val="24"/>
          <w:szCs w:val="24"/>
        </w:rPr>
        <w:t>.</w:t>
      </w:r>
      <w:r w:rsidR="00DC4BA5">
        <w:rPr>
          <w:rFonts w:ascii="Arial" w:hAnsi="Arial" w:cs="Arial"/>
          <w:sz w:val="24"/>
          <w:szCs w:val="24"/>
        </w:rPr>
        <w:t xml:space="preserve"> </w:t>
      </w:r>
      <w:r w:rsidR="00E65787">
        <w:rPr>
          <w:rFonts w:ascii="Arial" w:hAnsi="Arial" w:cs="Arial"/>
          <w:sz w:val="24"/>
          <w:szCs w:val="24"/>
        </w:rPr>
        <w:t xml:space="preserve">Každý štát si musí sám nastaviť výšku a rozsah tejto platby. </w:t>
      </w:r>
      <w:r w:rsidR="00441FE0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túto formu platby</w:t>
      </w:r>
      <w:r w:rsidR="00441FE0">
        <w:rPr>
          <w:rFonts w:ascii="Arial" w:hAnsi="Arial" w:cs="Arial"/>
          <w:sz w:val="24"/>
          <w:szCs w:val="24"/>
        </w:rPr>
        <w:t xml:space="preserve"> by sa </w:t>
      </w:r>
      <w:r w:rsidR="00E65787">
        <w:rPr>
          <w:rFonts w:ascii="Arial" w:hAnsi="Arial" w:cs="Arial"/>
          <w:sz w:val="24"/>
          <w:szCs w:val="24"/>
        </w:rPr>
        <w:t>mali využiť</w:t>
      </w:r>
      <w:r w:rsidR="00441FE0">
        <w:rPr>
          <w:rFonts w:ascii="Arial" w:hAnsi="Arial" w:cs="Arial"/>
          <w:sz w:val="24"/>
          <w:szCs w:val="24"/>
        </w:rPr>
        <w:t xml:space="preserve"> prostriedky zo </w:t>
      </w:r>
      <w:r>
        <w:rPr>
          <w:rFonts w:ascii="Arial" w:hAnsi="Arial" w:cs="Arial"/>
          <w:sz w:val="24"/>
          <w:szCs w:val="24"/>
        </w:rPr>
        <w:t>„</w:t>
      </w:r>
      <w:proofErr w:type="spellStart"/>
      <w:r w:rsidR="00441FE0">
        <w:rPr>
          <w:rFonts w:ascii="Arial" w:hAnsi="Arial" w:cs="Arial"/>
          <w:sz w:val="24"/>
          <w:szCs w:val="24"/>
        </w:rPr>
        <w:t>stropovania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="00441FE0">
        <w:rPr>
          <w:rFonts w:ascii="Arial" w:hAnsi="Arial" w:cs="Arial"/>
          <w:sz w:val="24"/>
          <w:szCs w:val="24"/>
        </w:rPr>
        <w:t>.</w:t>
      </w:r>
      <w:r w:rsidR="00DC4BA5">
        <w:rPr>
          <w:rFonts w:ascii="Arial" w:hAnsi="Arial" w:cs="Arial"/>
          <w:sz w:val="24"/>
          <w:szCs w:val="24"/>
        </w:rPr>
        <w:t xml:space="preserve"> </w:t>
      </w:r>
    </w:p>
    <w:p w:rsidR="00192B3C" w:rsidRPr="00B30BAC" w:rsidRDefault="008A0769" w:rsidP="00E83F7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Priam</w:t>
      </w:r>
      <w:r w:rsidR="00441FE0">
        <w:rPr>
          <w:rFonts w:ascii="Arial" w:hAnsi="Arial" w:cs="Arial"/>
          <w:sz w:val="24"/>
          <w:szCs w:val="24"/>
        </w:rPr>
        <w:t>e platby totiž môžu byť</w:t>
      </w:r>
      <w:r>
        <w:rPr>
          <w:rFonts w:ascii="Arial" w:hAnsi="Arial" w:cs="Arial"/>
          <w:sz w:val="24"/>
          <w:szCs w:val="24"/>
        </w:rPr>
        <w:t xml:space="preserve"> </w:t>
      </w:r>
      <w:r w:rsidR="00441FE0">
        <w:rPr>
          <w:rFonts w:ascii="Arial" w:hAnsi="Arial" w:cs="Arial"/>
          <w:b/>
          <w:sz w:val="24"/>
          <w:szCs w:val="24"/>
        </w:rPr>
        <w:t xml:space="preserve">obmedzené </w:t>
      </w:r>
      <w:r>
        <w:rPr>
          <w:rFonts w:ascii="Arial" w:hAnsi="Arial" w:cs="Arial"/>
          <w:sz w:val="24"/>
          <w:szCs w:val="24"/>
        </w:rPr>
        <w:t>najvyššou možnou úrovňou pre jeden poľnohospodársky</w:t>
      </w:r>
      <w:r w:rsidR="00F0352B">
        <w:rPr>
          <w:rFonts w:ascii="Arial" w:hAnsi="Arial" w:cs="Arial"/>
          <w:sz w:val="24"/>
          <w:szCs w:val="24"/>
        </w:rPr>
        <w:t xml:space="preserve"> podnik</w:t>
      </w:r>
      <w:r w:rsidR="00441FE0">
        <w:rPr>
          <w:rFonts w:ascii="Arial" w:hAnsi="Arial" w:cs="Arial"/>
          <w:sz w:val="24"/>
          <w:szCs w:val="24"/>
        </w:rPr>
        <w:t>, tzv. „stropom“</w:t>
      </w:r>
      <w:r w:rsidR="002F152F">
        <w:rPr>
          <w:rFonts w:ascii="Arial" w:hAnsi="Arial" w:cs="Arial"/>
          <w:sz w:val="24"/>
          <w:szCs w:val="24"/>
        </w:rPr>
        <w:t xml:space="preserve">. </w:t>
      </w:r>
      <w:r w:rsidR="00DC4BA5">
        <w:rPr>
          <w:rFonts w:ascii="Arial" w:hAnsi="Arial" w:cs="Arial"/>
          <w:sz w:val="24"/>
          <w:szCs w:val="24"/>
        </w:rPr>
        <w:t xml:space="preserve">Týka sa to najmä veľkých „neaktívnych“ fariem, ktoré majú nízku produkciu na hektár a nízku zamestnanosť. </w:t>
      </w:r>
      <w:r w:rsidR="002F152F">
        <w:rPr>
          <w:rFonts w:ascii="Arial" w:hAnsi="Arial" w:cs="Arial"/>
          <w:sz w:val="24"/>
          <w:szCs w:val="24"/>
        </w:rPr>
        <w:t xml:space="preserve">Nemal by sa však týkať podpory pre mladých, ani </w:t>
      </w:r>
      <w:proofErr w:type="spellStart"/>
      <w:r w:rsidR="002F152F">
        <w:rPr>
          <w:rFonts w:ascii="Arial" w:hAnsi="Arial" w:cs="Arial"/>
          <w:sz w:val="24"/>
          <w:szCs w:val="24"/>
        </w:rPr>
        <w:t>ekoschém</w:t>
      </w:r>
      <w:proofErr w:type="spellEnd"/>
      <w:r w:rsidR="002F152F">
        <w:rPr>
          <w:rFonts w:ascii="Arial" w:hAnsi="Arial" w:cs="Arial"/>
          <w:sz w:val="24"/>
          <w:szCs w:val="24"/>
        </w:rPr>
        <w:t xml:space="preserve"> a malo by byť možné odrátať aj časť nákladov na prácu súvisiacu s poľnohospodárstvom. No v</w:t>
      </w:r>
      <w:r>
        <w:rPr>
          <w:rFonts w:ascii="Arial" w:hAnsi="Arial" w:cs="Arial"/>
          <w:sz w:val="24"/>
          <w:szCs w:val="24"/>
        </w:rPr>
        <w:t>iac o tzv. „</w:t>
      </w:r>
      <w:proofErr w:type="spellStart"/>
      <w:r>
        <w:rPr>
          <w:rFonts w:ascii="Arial" w:hAnsi="Arial" w:cs="Arial"/>
          <w:sz w:val="24"/>
          <w:szCs w:val="24"/>
        </w:rPr>
        <w:t>stropovaní</w:t>
      </w:r>
      <w:proofErr w:type="spellEnd"/>
      <w:r>
        <w:rPr>
          <w:rFonts w:ascii="Arial" w:hAnsi="Arial" w:cs="Arial"/>
          <w:sz w:val="24"/>
          <w:szCs w:val="24"/>
        </w:rPr>
        <w:t xml:space="preserve">“ a </w:t>
      </w:r>
      <w:proofErr w:type="spellStart"/>
      <w:r>
        <w:rPr>
          <w:rFonts w:ascii="Arial" w:hAnsi="Arial" w:cs="Arial"/>
          <w:sz w:val="24"/>
          <w:szCs w:val="24"/>
        </w:rPr>
        <w:t>redistribúcii</w:t>
      </w:r>
      <w:proofErr w:type="spellEnd"/>
      <w:r>
        <w:rPr>
          <w:rFonts w:ascii="Arial" w:hAnsi="Arial" w:cs="Arial"/>
          <w:sz w:val="24"/>
          <w:szCs w:val="24"/>
        </w:rPr>
        <w:t xml:space="preserve"> napíšeme v 8.</w:t>
      </w:r>
      <w:r w:rsidR="002F152F">
        <w:rPr>
          <w:rFonts w:ascii="Arial" w:hAnsi="Arial" w:cs="Arial"/>
          <w:sz w:val="24"/>
          <w:szCs w:val="24"/>
        </w:rPr>
        <w:t>časti nášho seriálu.</w:t>
      </w:r>
    </w:p>
    <w:p w:rsidR="005D51FF" w:rsidRDefault="005D51FF" w:rsidP="00A06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1FF" w:rsidRDefault="005D3589" w:rsidP="00A06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Keďže Slovensko má v súčasnosti, v porovnaní s EÚ, jednu z najvyšších úrovní priemerných priamych platieb na farmu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SR: 23 287 €, EÚ: 6 104 €, zdroj: IPP), bude z hľadiska rozvoja agropotravinárskeho sektora na Slovensku strategicky najdôležitejšie motivovať k produkcii </w:t>
      </w:r>
      <w:r w:rsidR="00033B0F">
        <w:rPr>
          <w:rFonts w:ascii="Arial" w:hAnsi="Arial" w:cs="Arial"/>
          <w:sz w:val="24"/>
          <w:szCs w:val="24"/>
        </w:rPr>
        <w:t xml:space="preserve">potravín </w:t>
      </w:r>
      <w:r>
        <w:rPr>
          <w:rFonts w:ascii="Arial" w:hAnsi="Arial" w:cs="Arial"/>
          <w:sz w:val="24"/>
          <w:szCs w:val="24"/>
        </w:rPr>
        <w:t xml:space="preserve">a </w:t>
      </w:r>
      <w:r w:rsidRPr="005D3589">
        <w:rPr>
          <w:rFonts w:ascii="Arial" w:hAnsi="Arial" w:cs="Arial"/>
          <w:b/>
          <w:sz w:val="24"/>
          <w:szCs w:val="24"/>
        </w:rPr>
        <w:t>čo najefektívnejšie zacieliť rôzne dostupné formy podpôr</w:t>
      </w:r>
      <w:r>
        <w:rPr>
          <w:rFonts w:ascii="Arial" w:hAnsi="Arial" w:cs="Arial"/>
          <w:sz w:val="24"/>
          <w:szCs w:val="24"/>
        </w:rPr>
        <w:t xml:space="preserve">. A to </w:t>
      </w:r>
      <w:r w:rsidR="00033B0F">
        <w:rPr>
          <w:rFonts w:ascii="Arial" w:hAnsi="Arial" w:cs="Arial"/>
          <w:sz w:val="24"/>
          <w:szCs w:val="24"/>
        </w:rPr>
        <w:t>najmä nepriamych,</w:t>
      </w:r>
      <w:r>
        <w:rPr>
          <w:rFonts w:ascii="Arial" w:hAnsi="Arial" w:cs="Arial"/>
          <w:sz w:val="24"/>
          <w:szCs w:val="24"/>
        </w:rPr>
        <w:t xml:space="preserve"> projektových, v rámci II. piliera. O tom si povieme viac nabudúce... </w:t>
      </w:r>
      <w:r w:rsidRPr="005D3589">
        <w:rPr>
          <w:rFonts w:ascii="Arial" w:hAnsi="Arial" w:cs="Arial"/>
          <w:sz w:val="24"/>
          <w:szCs w:val="24"/>
        </w:rPr>
        <w:sym w:font="Wingdings" w:char="F04A"/>
      </w:r>
      <w:bookmarkStart w:id="0" w:name="_GoBack"/>
      <w:bookmarkEnd w:id="0"/>
    </w:p>
    <w:p w:rsidR="002D5A63" w:rsidRDefault="002D5A63" w:rsidP="00A06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A35" w:rsidRDefault="00B67A35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0E6" w:rsidRDefault="00EA10E6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:rsidR="00B67A35" w:rsidRPr="00E05B88" w:rsidRDefault="009A3BA8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E05B88">
        <w:rPr>
          <w:rFonts w:ascii="Arial" w:hAnsi="Arial" w:cs="Arial"/>
          <w:i/>
          <w:sz w:val="24"/>
          <w:szCs w:val="24"/>
          <w:u w:val="single"/>
        </w:rPr>
        <w:t>SERIÁL obsahuje</w:t>
      </w:r>
      <w:r w:rsidR="00E05B88" w:rsidRPr="00E05B88">
        <w:rPr>
          <w:rFonts w:ascii="Arial" w:hAnsi="Arial" w:cs="Arial"/>
          <w:i/>
          <w:sz w:val="24"/>
          <w:szCs w:val="24"/>
          <w:u w:val="single"/>
        </w:rPr>
        <w:t xml:space="preserve"> tieto témy, ktoré budeme prinášať v týždňových intervaloch na našej stránke:</w:t>
      </w:r>
      <w:r w:rsidR="00B67A35" w:rsidRPr="00E05B88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F45615" w:rsidRPr="00AD266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AD2669">
        <w:rPr>
          <w:rFonts w:ascii="Arial" w:hAnsi="Arial" w:cs="Arial"/>
          <w:b/>
          <w:i/>
          <w:sz w:val="24"/>
          <w:szCs w:val="24"/>
        </w:rPr>
        <w:t>Čo to je SPP EÚ a prečo sa mení?</w:t>
      </w:r>
    </w:p>
    <w:p w:rsidR="00F45615" w:rsidRPr="000F672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0F6729">
        <w:rPr>
          <w:rFonts w:ascii="Arial" w:hAnsi="Arial" w:cs="Arial"/>
          <w:b/>
          <w:i/>
          <w:sz w:val="24"/>
          <w:szCs w:val="24"/>
        </w:rPr>
        <w:t>9 hlavných cieľov SPP po 2021</w:t>
      </w:r>
    </w:p>
    <w:p w:rsidR="00F45615" w:rsidRPr="003C501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C501D">
        <w:rPr>
          <w:rFonts w:ascii="Arial" w:hAnsi="Arial" w:cs="Arial"/>
          <w:b/>
          <w:i/>
          <w:sz w:val="24"/>
          <w:szCs w:val="24"/>
        </w:rPr>
        <w:t>Zelená architektúra budúcej SPP</w:t>
      </w:r>
    </w:p>
    <w:p w:rsidR="00F45615" w:rsidRPr="00ED3F30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ED3F30">
        <w:rPr>
          <w:rFonts w:ascii="Arial" w:hAnsi="Arial" w:cs="Arial"/>
          <w:b/>
          <w:i/>
          <w:sz w:val="24"/>
          <w:szCs w:val="24"/>
        </w:rPr>
        <w:t>Finančný rámec pre EÚ a SR</w:t>
      </w:r>
    </w:p>
    <w:p w:rsidR="00F45615" w:rsidRPr="00A06F3A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A06F3A">
        <w:rPr>
          <w:rFonts w:ascii="Arial" w:hAnsi="Arial" w:cs="Arial"/>
          <w:b/>
          <w:i/>
          <w:sz w:val="24"/>
          <w:szCs w:val="24"/>
        </w:rPr>
        <w:t>Hlavné priame podpory I. piliera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Opatrenia II. piliera na rozvoj vidieka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Spoločná organizácia trhu s obilninami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Otvorené otázky (</w:t>
      </w:r>
      <w:proofErr w:type="spellStart"/>
      <w:r w:rsidRPr="00F45615">
        <w:rPr>
          <w:rFonts w:ascii="Arial" w:hAnsi="Arial" w:cs="Arial"/>
          <w:i/>
          <w:sz w:val="24"/>
          <w:szCs w:val="24"/>
        </w:rPr>
        <w:t>stropovanie</w:t>
      </w:r>
      <w:proofErr w:type="spellEnd"/>
      <w:r w:rsidRPr="00F4561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45615">
        <w:rPr>
          <w:rFonts w:ascii="Arial" w:hAnsi="Arial" w:cs="Arial"/>
          <w:i/>
          <w:sz w:val="24"/>
          <w:szCs w:val="24"/>
        </w:rPr>
        <w:t>redistribúcia</w:t>
      </w:r>
      <w:proofErr w:type="spellEnd"/>
      <w:r w:rsidRPr="00F45615">
        <w:rPr>
          <w:rFonts w:ascii="Arial" w:hAnsi="Arial" w:cs="Arial"/>
          <w:i/>
          <w:sz w:val="24"/>
          <w:szCs w:val="24"/>
        </w:rPr>
        <w:t>, definícia aktívneho farmára, atď.)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Časový rámec a očakávané kroky</w:t>
      </w:r>
    </w:p>
    <w:p w:rsidR="00CC4BB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Prechodné obdobie a najbližšie roky</w:t>
      </w:r>
    </w:p>
    <w:p w:rsidR="00370DFB" w:rsidRPr="00370DFB" w:rsidRDefault="00370DFB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70DFB">
        <w:rPr>
          <w:rFonts w:ascii="Arial" w:hAnsi="Arial" w:cs="Arial"/>
          <w:i/>
          <w:sz w:val="24"/>
          <w:szCs w:val="24"/>
        </w:rPr>
        <w:t xml:space="preserve">Spracovala: Ing. Vladimíra Debnárová, výkonná tajomníčka Združenia </w:t>
      </w:r>
      <w:r w:rsidR="00074CE4">
        <w:rPr>
          <w:rFonts w:ascii="Arial" w:hAnsi="Arial" w:cs="Arial"/>
          <w:i/>
          <w:sz w:val="24"/>
          <w:szCs w:val="24"/>
        </w:rPr>
        <w:t>pestovateľov obilnín, 27</w:t>
      </w:r>
      <w:r>
        <w:rPr>
          <w:rFonts w:ascii="Arial" w:hAnsi="Arial" w:cs="Arial"/>
          <w:i/>
          <w:sz w:val="24"/>
          <w:szCs w:val="24"/>
        </w:rPr>
        <w:t>.11.</w:t>
      </w:r>
      <w:r w:rsidRPr="00370DFB">
        <w:rPr>
          <w:rFonts w:ascii="Arial" w:hAnsi="Arial" w:cs="Arial"/>
          <w:i/>
          <w:sz w:val="24"/>
          <w:szCs w:val="24"/>
        </w:rPr>
        <w:t xml:space="preserve"> 2019.</w:t>
      </w:r>
    </w:p>
    <w:p w:rsidR="00370DFB" w:rsidRDefault="00370DFB" w:rsidP="00370DFB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</w:p>
    <w:p w:rsidR="00370DFB" w:rsidRPr="00370DFB" w:rsidRDefault="00ED3F30" w:rsidP="00370DFB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Ak sa Vám páči naša práca a chcete sa stať členom Združenia pestovateľov obilnín, pošlite nám čo najskôr svoju </w:t>
      </w:r>
      <w:r w:rsidRPr="0075567C">
        <w:rPr>
          <w:rFonts w:ascii="Arial" w:hAnsi="Arial" w:cs="Arial"/>
          <w:b/>
          <w:i/>
          <w:color w:val="002060"/>
          <w:sz w:val="24"/>
          <w:szCs w:val="24"/>
        </w:rPr>
        <w:t>prihlášku za člena</w:t>
      </w:r>
      <w:r w:rsidR="0075567C">
        <w:rPr>
          <w:rFonts w:ascii="Arial" w:hAnsi="Arial" w:cs="Arial"/>
          <w:b/>
          <w:i/>
          <w:color w:val="002060"/>
          <w:sz w:val="24"/>
          <w:szCs w:val="24"/>
        </w:rPr>
        <w:t xml:space="preserve"> ZPO</w:t>
      </w: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.</w:t>
      </w:r>
      <w:r w:rsidR="0075567C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 Vopred ď</w:t>
      </w:r>
      <w:r w:rsidR="00370DFB" w:rsidRPr="00370DFB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akujeme!</w:t>
      </w:r>
    </w:p>
    <w:p w:rsidR="00370DFB" w:rsidRPr="00370DFB" w:rsidRDefault="00370DFB" w:rsidP="00370DFB">
      <w:pPr>
        <w:spacing w:line="256" w:lineRule="auto"/>
        <w:ind w:left="360"/>
        <w:rPr>
          <w:rFonts w:ascii="Arial" w:hAnsi="Arial" w:cs="Arial"/>
          <w:i/>
          <w:sz w:val="24"/>
          <w:szCs w:val="24"/>
        </w:rPr>
      </w:pPr>
    </w:p>
    <w:sectPr w:rsidR="00370DFB" w:rsidRPr="00370DFB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1045"/>
    <w:multiLevelType w:val="hybridMultilevel"/>
    <w:tmpl w:val="5B0E8356"/>
    <w:lvl w:ilvl="0" w:tplc="595A44F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3242"/>
    <w:multiLevelType w:val="hybridMultilevel"/>
    <w:tmpl w:val="B65675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858"/>
    <w:multiLevelType w:val="hybridMultilevel"/>
    <w:tmpl w:val="1E8A19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C04"/>
    <w:multiLevelType w:val="multilevel"/>
    <w:tmpl w:val="DF5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16086"/>
    <w:multiLevelType w:val="hybridMultilevel"/>
    <w:tmpl w:val="6FF8FB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E25"/>
    <w:multiLevelType w:val="hybridMultilevel"/>
    <w:tmpl w:val="0972A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82163"/>
    <w:multiLevelType w:val="hybridMultilevel"/>
    <w:tmpl w:val="56E2A860"/>
    <w:lvl w:ilvl="0" w:tplc="FBF80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0583"/>
    <w:multiLevelType w:val="hybridMultilevel"/>
    <w:tmpl w:val="A6EC1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200A2"/>
    <w:multiLevelType w:val="hybridMultilevel"/>
    <w:tmpl w:val="2D44092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15A1"/>
    <w:multiLevelType w:val="hybridMultilevel"/>
    <w:tmpl w:val="36826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62432"/>
    <w:multiLevelType w:val="hybridMultilevel"/>
    <w:tmpl w:val="D918EF5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665F3"/>
    <w:multiLevelType w:val="hybridMultilevel"/>
    <w:tmpl w:val="47C48F0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649C0"/>
    <w:multiLevelType w:val="hybridMultilevel"/>
    <w:tmpl w:val="3322F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C6BDE"/>
    <w:multiLevelType w:val="hybridMultilevel"/>
    <w:tmpl w:val="D7E61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10C13"/>
    <w:multiLevelType w:val="hybridMultilevel"/>
    <w:tmpl w:val="E964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3246A"/>
    <w:multiLevelType w:val="hybridMultilevel"/>
    <w:tmpl w:val="4AA2B62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32E13"/>
    <w:multiLevelType w:val="multilevel"/>
    <w:tmpl w:val="8B4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0"/>
  </w:num>
  <w:num w:numId="16">
    <w:abstractNumId w:val="16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D"/>
    <w:rsid w:val="00006A48"/>
    <w:rsid w:val="00011C30"/>
    <w:rsid w:val="0001600C"/>
    <w:rsid w:val="0002252A"/>
    <w:rsid w:val="00033B0F"/>
    <w:rsid w:val="00055928"/>
    <w:rsid w:val="00074CE4"/>
    <w:rsid w:val="00094A98"/>
    <w:rsid w:val="000B1805"/>
    <w:rsid w:val="000D792A"/>
    <w:rsid w:val="000E3193"/>
    <w:rsid w:val="000F0161"/>
    <w:rsid w:val="000F47FC"/>
    <w:rsid w:val="000F6729"/>
    <w:rsid w:val="0010493C"/>
    <w:rsid w:val="00120876"/>
    <w:rsid w:val="00125822"/>
    <w:rsid w:val="001343C0"/>
    <w:rsid w:val="00164834"/>
    <w:rsid w:val="00192B3C"/>
    <w:rsid w:val="0019318E"/>
    <w:rsid w:val="001A23D9"/>
    <w:rsid w:val="001B44BB"/>
    <w:rsid w:val="001E5CFD"/>
    <w:rsid w:val="001F028C"/>
    <w:rsid w:val="001F2380"/>
    <w:rsid w:val="00205EF8"/>
    <w:rsid w:val="00263D8F"/>
    <w:rsid w:val="00291A18"/>
    <w:rsid w:val="002A518F"/>
    <w:rsid w:val="002B62F0"/>
    <w:rsid w:val="002C55DC"/>
    <w:rsid w:val="002C5739"/>
    <w:rsid w:val="002D5A63"/>
    <w:rsid w:val="002D7569"/>
    <w:rsid w:val="002E4D9C"/>
    <w:rsid w:val="002F152F"/>
    <w:rsid w:val="002F43CB"/>
    <w:rsid w:val="002F5655"/>
    <w:rsid w:val="00327BE5"/>
    <w:rsid w:val="00331676"/>
    <w:rsid w:val="00344B7C"/>
    <w:rsid w:val="0034552F"/>
    <w:rsid w:val="00356EDF"/>
    <w:rsid w:val="00360AE3"/>
    <w:rsid w:val="00366B12"/>
    <w:rsid w:val="00370DFB"/>
    <w:rsid w:val="00384FC9"/>
    <w:rsid w:val="003853AE"/>
    <w:rsid w:val="003C501D"/>
    <w:rsid w:val="003D30AB"/>
    <w:rsid w:val="003F17CB"/>
    <w:rsid w:val="00410171"/>
    <w:rsid w:val="004137C3"/>
    <w:rsid w:val="0042586A"/>
    <w:rsid w:val="00441FE0"/>
    <w:rsid w:val="00476D49"/>
    <w:rsid w:val="004A5E6A"/>
    <w:rsid w:val="004C0166"/>
    <w:rsid w:val="004C6E85"/>
    <w:rsid w:val="004E630C"/>
    <w:rsid w:val="004E65BD"/>
    <w:rsid w:val="005038E9"/>
    <w:rsid w:val="005262A7"/>
    <w:rsid w:val="00552C93"/>
    <w:rsid w:val="005546E5"/>
    <w:rsid w:val="005825E5"/>
    <w:rsid w:val="00595BEF"/>
    <w:rsid w:val="005A4220"/>
    <w:rsid w:val="005B5FD9"/>
    <w:rsid w:val="005D3589"/>
    <w:rsid w:val="005D3EB0"/>
    <w:rsid w:val="005D4615"/>
    <w:rsid w:val="005D51FF"/>
    <w:rsid w:val="005E74C9"/>
    <w:rsid w:val="00660272"/>
    <w:rsid w:val="0068701A"/>
    <w:rsid w:val="00694213"/>
    <w:rsid w:val="0069517D"/>
    <w:rsid w:val="006A09A4"/>
    <w:rsid w:val="006A2CDD"/>
    <w:rsid w:val="006B4B90"/>
    <w:rsid w:val="006B598A"/>
    <w:rsid w:val="006D5B24"/>
    <w:rsid w:val="006F3BFA"/>
    <w:rsid w:val="006F7A59"/>
    <w:rsid w:val="00702CFB"/>
    <w:rsid w:val="007058C5"/>
    <w:rsid w:val="00725690"/>
    <w:rsid w:val="00732AA0"/>
    <w:rsid w:val="00740D66"/>
    <w:rsid w:val="0075567C"/>
    <w:rsid w:val="00755E99"/>
    <w:rsid w:val="00761EFD"/>
    <w:rsid w:val="00783DAA"/>
    <w:rsid w:val="0078566F"/>
    <w:rsid w:val="007A4076"/>
    <w:rsid w:val="007D40B2"/>
    <w:rsid w:val="00812CF5"/>
    <w:rsid w:val="00872819"/>
    <w:rsid w:val="008769F5"/>
    <w:rsid w:val="0089319B"/>
    <w:rsid w:val="008A0769"/>
    <w:rsid w:val="008A1A06"/>
    <w:rsid w:val="008A70A0"/>
    <w:rsid w:val="008C3338"/>
    <w:rsid w:val="008C4F91"/>
    <w:rsid w:val="008C54EF"/>
    <w:rsid w:val="008D132F"/>
    <w:rsid w:val="00900131"/>
    <w:rsid w:val="009011C4"/>
    <w:rsid w:val="0091648C"/>
    <w:rsid w:val="0092397C"/>
    <w:rsid w:val="00956D47"/>
    <w:rsid w:val="0096138F"/>
    <w:rsid w:val="00972CC6"/>
    <w:rsid w:val="009739CC"/>
    <w:rsid w:val="009774EF"/>
    <w:rsid w:val="00990C3A"/>
    <w:rsid w:val="00997A14"/>
    <w:rsid w:val="009A3BA8"/>
    <w:rsid w:val="009E4922"/>
    <w:rsid w:val="009F588E"/>
    <w:rsid w:val="00A04604"/>
    <w:rsid w:val="00A06F3A"/>
    <w:rsid w:val="00A20926"/>
    <w:rsid w:val="00A36C42"/>
    <w:rsid w:val="00A82B3D"/>
    <w:rsid w:val="00A82EA1"/>
    <w:rsid w:val="00A84900"/>
    <w:rsid w:val="00AB1E49"/>
    <w:rsid w:val="00AD2669"/>
    <w:rsid w:val="00AD5DD8"/>
    <w:rsid w:val="00B11476"/>
    <w:rsid w:val="00B23E06"/>
    <w:rsid w:val="00B30BAC"/>
    <w:rsid w:val="00B3388D"/>
    <w:rsid w:val="00B44B79"/>
    <w:rsid w:val="00B46662"/>
    <w:rsid w:val="00B67A35"/>
    <w:rsid w:val="00B9725F"/>
    <w:rsid w:val="00BA0AA0"/>
    <w:rsid w:val="00BD1FAA"/>
    <w:rsid w:val="00C13845"/>
    <w:rsid w:val="00C16503"/>
    <w:rsid w:val="00C3706E"/>
    <w:rsid w:val="00C37A0A"/>
    <w:rsid w:val="00C6161B"/>
    <w:rsid w:val="00C6665E"/>
    <w:rsid w:val="00C8074E"/>
    <w:rsid w:val="00C84DC9"/>
    <w:rsid w:val="00CB427B"/>
    <w:rsid w:val="00CB6A2D"/>
    <w:rsid w:val="00CB6F8E"/>
    <w:rsid w:val="00CC4BBD"/>
    <w:rsid w:val="00CF2076"/>
    <w:rsid w:val="00D00DA0"/>
    <w:rsid w:val="00D12AE3"/>
    <w:rsid w:val="00D2703E"/>
    <w:rsid w:val="00D31537"/>
    <w:rsid w:val="00D90158"/>
    <w:rsid w:val="00DA2CA3"/>
    <w:rsid w:val="00DC4BA5"/>
    <w:rsid w:val="00DE102C"/>
    <w:rsid w:val="00DF2AE0"/>
    <w:rsid w:val="00E00D1B"/>
    <w:rsid w:val="00E01F29"/>
    <w:rsid w:val="00E0437D"/>
    <w:rsid w:val="00E05B88"/>
    <w:rsid w:val="00E11D14"/>
    <w:rsid w:val="00E14BC9"/>
    <w:rsid w:val="00E46B38"/>
    <w:rsid w:val="00E65787"/>
    <w:rsid w:val="00E8188F"/>
    <w:rsid w:val="00E83F7D"/>
    <w:rsid w:val="00E94752"/>
    <w:rsid w:val="00EA10E6"/>
    <w:rsid w:val="00EB3245"/>
    <w:rsid w:val="00EB71A3"/>
    <w:rsid w:val="00ED3F30"/>
    <w:rsid w:val="00EF3FD9"/>
    <w:rsid w:val="00F0352B"/>
    <w:rsid w:val="00F03CE2"/>
    <w:rsid w:val="00F263DE"/>
    <w:rsid w:val="00F3189A"/>
    <w:rsid w:val="00F36C83"/>
    <w:rsid w:val="00F36DE8"/>
    <w:rsid w:val="00F45615"/>
    <w:rsid w:val="00F54CDC"/>
    <w:rsid w:val="00F67237"/>
    <w:rsid w:val="00F76A30"/>
    <w:rsid w:val="00F77A11"/>
    <w:rsid w:val="00F8359D"/>
    <w:rsid w:val="00FA49F7"/>
    <w:rsid w:val="00FA4BC6"/>
    <w:rsid w:val="00FD07DB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BD40-FF55-48B1-80AC-1BA39FB8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76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BB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F76A3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7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1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5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6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1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54</cp:revision>
  <dcterms:created xsi:type="dcterms:W3CDTF">2019-11-25T14:26:00Z</dcterms:created>
  <dcterms:modified xsi:type="dcterms:W3CDTF">2019-11-27T16:05:00Z</dcterms:modified>
</cp:coreProperties>
</file>