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3C501D" w:rsidRDefault="00972CC6" w:rsidP="003C501D">
      <w:pPr>
        <w:pStyle w:val="Odsekzoznamu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C501D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3C501D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Zelená architektúra budúcej</w:t>
      </w:r>
      <w:r w:rsidR="00BD1FAA">
        <w:rPr>
          <w:rFonts w:ascii="Arial" w:hAnsi="Arial" w:cs="Arial"/>
          <w:b/>
          <w:sz w:val="28"/>
          <w:szCs w:val="28"/>
        </w:rPr>
        <w:t xml:space="preserve"> Spoločnej poľnohospodárskej politiky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A36C42" w:rsidRDefault="00B3388D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súčasnom programovacom období sú poľnohospodári zaviazaní viacerými požiadavkami v oblasti ochrany životného prostredia, v záujme klímy, či pohody zvierat. V budúcom období sa majú tieto režimy zefektívniť a posilniť aj nad rámec súčasných povinností. Európska Komisia zvyšuje ambície a tlak na dosiahnutie merateľných výsledkov. No zároveň poskytuje dostatok manévrovacieho priestoru pre členské krajiny EÚ, aby si samé vytvorili ten správny mix povinných a dobrovoľných opatrení, prispôsobených na ich miestne podmienky.</w:t>
      </w:r>
    </w:p>
    <w:p w:rsidR="00344B7C" w:rsidRDefault="00344B7C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Obrázok stručne a jasne vysvetľuje súčasný stav platný pre roky 2014-2020 (vľavo od šípky) a návrh tzv. </w:t>
      </w:r>
      <w:r w:rsidRPr="00344B7C">
        <w:rPr>
          <w:rFonts w:ascii="Arial" w:hAnsi="Arial" w:cs="Arial"/>
          <w:b/>
          <w:sz w:val="24"/>
          <w:szCs w:val="24"/>
        </w:rPr>
        <w:t>„Zelenej architektúry“</w:t>
      </w:r>
      <w:r>
        <w:rPr>
          <w:rFonts w:ascii="Arial" w:hAnsi="Arial" w:cs="Arial"/>
          <w:sz w:val="24"/>
          <w:szCs w:val="24"/>
        </w:rPr>
        <w:t xml:space="preserve"> Spoločnej poľnohospodárskej politiky na roky 2021-2027 (vpravo od šípky). Šípka znázorňuje rastúcu úroveň </w:t>
      </w:r>
      <w:proofErr w:type="spellStart"/>
      <w:r w:rsidR="00D12AE3">
        <w:rPr>
          <w:rFonts w:ascii="Arial" w:hAnsi="Arial" w:cs="Arial"/>
          <w:sz w:val="24"/>
          <w:szCs w:val="24"/>
        </w:rPr>
        <w:t>agro</w:t>
      </w:r>
      <w:proofErr w:type="spellEnd"/>
      <w:r w:rsidR="00D12AE3">
        <w:rPr>
          <w:rFonts w:ascii="Arial" w:hAnsi="Arial" w:cs="Arial"/>
          <w:sz w:val="24"/>
          <w:szCs w:val="24"/>
        </w:rPr>
        <w:t xml:space="preserve">-environmentálnych </w:t>
      </w:r>
      <w:r>
        <w:rPr>
          <w:rFonts w:ascii="Arial" w:hAnsi="Arial" w:cs="Arial"/>
          <w:sz w:val="24"/>
          <w:szCs w:val="24"/>
        </w:rPr>
        <w:t>požiadaviek.</w:t>
      </w:r>
    </w:p>
    <w:p w:rsidR="00B3388D" w:rsidRDefault="00344B7C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115050" cy="4754451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lena architektura ob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174" cy="477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8F" w:rsidRDefault="00331676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Nové </w:t>
      </w:r>
      <w:r w:rsidRPr="006F7A59">
        <w:rPr>
          <w:rFonts w:ascii="Arial" w:hAnsi="Arial" w:cs="Arial"/>
          <w:b/>
          <w:sz w:val="24"/>
          <w:szCs w:val="24"/>
        </w:rPr>
        <w:t>rozšírené povinné podmienky („</w:t>
      </w:r>
      <w:proofErr w:type="spellStart"/>
      <w:r w:rsidRPr="006F7A59">
        <w:rPr>
          <w:rFonts w:ascii="Arial" w:hAnsi="Arial" w:cs="Arial"/>
          <w:b/>
          <w:sz w:val="24"/>
          <w:szCs w:val="24"/>
        </w:rPr>
        <w:t>kondicionality</w:t>
      </w:r>
      <w:proofErr w:type="spellEnd"/>
      <w:r>
        <w:rPr>
          <w:rFonts w:ascii="Arial" w:hAnsi="Arial" w:cs="Arial"/>
          <w:sz w:val="24"/>
          <w:szCs w:val="24"/>
        </w:rPr>
        <w:t>“) teda predlžujú platnosť súčasných podmienok tzv</w:t>
      </w:r>
      <w:r w:rsidRPr="006B598A">
        <w:rPr>
          <w:rFonts w:ascii="Arial" w:hAnsi="Arial" w:cs="Arial"/>
          <w:color w:val="1F3864" w:themeColor="accent5" w:themeShade="80"/>
          <w:sz w:val="24"/>
          <w:szCs w:val="24"/>
        </w:rPr>
        <w:t>. „Krížového plnenia</w:t>
      </w:r>
      <w:r>
        <w:rPr>
          <w:rFonts w:ascii="Arial" w:hAnsi="Arial" w:cs="Arial"/>
          <w:sz w:val="24"/>
          <w:szCs w:val="24"/>
        </w:rPr>
        <w:t xml:space="preserve">“. Tieto praktiky založené na štandardách Európskej únie reagujú na zmeny klímy, ochranu vody, pôdy, </w:t>
      </w:r>
      <w:r w:rsidR="001B44BB">
        <w:rPr>
          <w:rFonts w:ascii="Arial" w:hAnsi="Arial" w:cs="Arial"/>
          <w:sz w:val="24"/>
          <w:szCs w:val="24"/>
        </w:rPr>
        <w:t xml:space="preserve">biotopov, </w:t>
      </w:r>
      <w:r>
        <w:rPr>
          <w:rFonts w:ascii="Arial" w:hAnsi="Arial" w:cs="Arial"/>
          <w:sz w:val="24"/>
          <w:szCs w:val="24"/>
        </w:rPr>
        <w:t xml:space="preserve">biodiverzitu, manažment používania pesticídov, program Natura 2000. No sú rozšírené o nové prvky ako je ochrana mokradí a rašelinísk </w:t>
      </w:r>
      <w:r w:rsidR="006F7A59">
        <w:rPr>
          <w:rFonts w:ascii="Arial" w:hAnsi="Arial" w:cs="Arial"/>
          <w:sz w:val="24"/>
          <w:szCs w:val="24"/>
        </w:rPr>
        <w:t xml:space="preserve">(GAEC 2), nástroje pre </w:t>
      </w:r>
      <w:r w:rsidR="000F0161">
        <w:rPr>
          <w:rFonts w:ascii="Arial" w:hAnsi="Arial" w:cs="Arial"/>
          <w:sz w:val="24"/>
          <w:szCs w:val="24"/>
        </w:rPr>
        <w:t>sledovanie a manažment</w:t>
      </w:r>
      <w:r w:rsidR="006F7A59">
        <w:rPr>
          <w:rFonts w:ascii="Arial" w:hAnsi="Arial" w:cs="Arial"/>
          <w:sz w:val="24"/>
          <w:szCs w:val="24"/>
        </w:rPr>
        <w:t xml:space="preserve"> výživných látok (GAEC 5), redukciu úrovne dusíka vo vode (SMR 1), či </w:t>
      </w:r>
      <w:r w:rsidR="000F0161">
        <w:rPr>
          <w:rFonts w:ascii="Arial" w:hAnsi="Arial" w:cs="Arial"/>
          <w:sz w:val="24"/>
          <w:szCs w:val="24"/>
        </w:rPr>
        <w:t xml:space="preserve">trvalo-udržateľné používanie </w:t>
      </w:r>
      <w:r w:rsidR="006F7A59">
        <w:rPr>
          <w:rFonts w:ascii="Arial" w:hAnsi="Arial" w:cs="Arial"/>
          <w:sz w:val="24"/>
          <w:szCs w:val="24"/>
        </w:rPr>
        <w:t>pesticídov (SMR 13). Posilňujú sa prvky pre rotáciu plodín (GAEC 8)</w:t>
      </w:r>
      <w:r w:rsidR="000F0161">
        <w:rPr>
          <w:rFonts w:ascii="Arial" w:hAnsi="Arial" w:cs="Arial"/>
          <w:sz w:val="24"/>
          <w:szCs w:val="24"/>
        </w:rPr>
        <w:t xml:space="preserve"> – </w:t>
      </w:r>
      <w:r w:rsidR="000F0161" w:rsidRPr="000F0161">
        <w:rPr>
          <w:rFonts w:ascii="Arial" w:hAnsi="Arial" w:cs="Arial"/>
          <w:i/>
          <w:sz w:val="24"/>
          <w:szCs w:val="24"/>
        </w:rPr>
        <w:t>náhradou za málo efektívnu diverzifikáciu plodín, resp. zazeleňovanie („</w:t>
      </w:r>
      <w:proofErr w:type="spellStart"/>
      <w:r w:rsidR="000F0161" w:rsidRPr="000F0161">
        <w:rPr>
          <w:rFonts w:ascii="Arial" w:hAnsi="Arial" w:cs="Arial"/>
          <w:i/>
          <w:sz w:val="24"/>
          <w:szCs w:val="24"/>
        </w:rPr>
        <w:t>greening</w:t>
      </w:r>
      <w:proofErr w:type="spellEnd"/>
      <w:r w:rsidR="000F0161" w:rsidRPr="000F0161">
        <w:rPr>
          <w:rFonts w:ascii="Arial" w:hAnsi="Arial" w:cs="Arial"/>
          <w:i/>
          <w:sz w:val="24"/>
          <w:szCs w:val="24"/>
        </w:rPr>
        <w:t>“)</w:t>
      </w:r>
      <w:r w:rsidR="000F0161">
        <w:rPr>
          <w:rFonts w:ascii="Arial" w:hAnsi="Arial" w:cs="Arial"/>
          <w:sz w:val="24"/>
          <w:szCs w:val="24"/>
        </w:rPr>
        <w:t>,</w:t>
      </w:r>
      <w:r w:rsidR="006F7A59">
        <w:rPr>
          <w:rFonts w:ascii="Arial" w:hAnsi="Arial" w:cs="Arial"/>
          <w:sz w:val="24"/>
          <w:szCs w:val="24"/>
        </w:rPr>
        <w:t xml:space="preserve"> </w:t>
      </w:r>
      <w:r w:rsidR="006F7A59">
        <w:rPr>
          <w:rFonts w:ascii="Arial" w:hAnsi="Arial" w:cs="Arial"/>
          <w:sz w:val="24"/>
          <w:szCs w:val="24"/>
        </w:rPr>
        <w:lastRenderedPageBreak/>
        <w:t xml:space="preserve">vyňatie pôdy pre zachovanie biodiverzity – mimo </w:t>
      </w:r>
      <w:r w:rsidR="000F0161">
        <w:rPr>
          <w:rFonts w:ascii="Arial" w:hAnsi="Arial" w:cs="Arial"/>
          <w:sz w:val="24"/>
          <w:szCs w:val="24"/>
        </w:rPr>
        <w:t xml:space="preserve">poľnohospodárskej </w:t>
      </w:r>
      <w:r w:rsidR="006F7A59">
        <w:rPr>
          <w:rFonts w:ascii="Arial" w:hAnsi="Arial" w:cs="Arial"/>
          <w:sz w:val="24"/>
          <w:szCs w:val="24"/>
        </w:rPr>
        <w:t>prod</w:t>
      </w:r>
      <w:r w:rsidR="00B11476">
        <w:rPr>
          <w:rFonts w:ascii="Arial" w:hAnsi="Arial" w:cs="Arial"/>
          <w:sz w:val="24"/>
          <w:szCs w:val="24"/>
        </w:rPr>
        <w:t xml:space="preserve">ukcie (GAEC 9), či </w:t>
      </w:r>
      <w:r w:rsidR="000F0161">
        <w:rPr>
          <w:rFonts w:ascii="Arial" w:hAnsi="Arial" w:cs="Arial"/>
          <w:sz w:val="24"/>
          <w:szCs w:val="24"/>
        </w:rPr>
        <w:t xml:space="preserve">úplný </w:t>
      </w:r>
      <w:r w:rsidR="00B11476">
        <w:rPr>
          <w:rFonts w:ascii="Arial" w:hAnsi="Arial" w:cs="Arial"/>
          <w:sz w:val="24"/>
          <w:szCs w:val="24"/>
        </w:rPr>
        <w:t>zákaz transformácie</w:t>
      </w:r>
      <w:r w:rsidR="006F7A59">
        <w:rPr>
          <w:rFonts w:ascii="Arial" w:hAnsi="Arial" w:cs="Arial"/>
          <w:sz w:val="24"/>
          <w:szCs w:val="24"/>
        </w:rPr>
        <w:t xml:space="preserve"> </w:t>
      </w:r>
      <w:r w:rsidR="000F0161">
        <w:rPr>
          <w:rFonts w:ascii="Arial" w:hAnsi="Arial" w:cs="Arial"/>
          <w:sz w:val="24"/>
          <w:szCs w:val="24"/>
        </w:rPr>
        <w:t xml:space="preserve">(zorania) </w:t>
      </w:r>
      <w:r w:rsidR="006F7A59">
        <w:rPr>
          <w:rFonts w:ascii="Arial" w:hAnsi="Arial" w:cs="Arial"/>
          <w:sz w:val="24"/>
          <w:szCs w:val="24"/>
        </w:rPr>
        <w:t>TTP v</w:t>
      </w:r>
      <w:r w:rsidR="000F0161">
        <w:rPr>
          <w:rFonts w:ascii="Arial" w:hAnsi="Arial" w:cs="Arial"/>
          <w:sz w:val="24"/>
          <w:szCs w:val="24"/>
        </w:rPr>
        <w:t xml:space="preserve"> oblasti </w:t>
      </w:r>
      <w:r w:rsidR="006F7A59">
        <w:rPr>
          <w:rFonts w:ascii="Arial" w:hAnsi="Arial" w:cs="Arial"/>
          <w:sz w:val="24"/>
          <w:szCs w:val="24"/>
        </w:rPr>
        <w:t xml:space="preserve">Natura </w:t>
      </w:r>
      <w:r w:rsidR="000F0161">
        <w:rPr>
          <w:rFonts w:ascii="Arial" w:hAnsi="Arial" w:cs="Arial"/>
          <w:sz w:val="24"/>
          <w:szCs w:val="24"/>
        </w:rPr>
        <w:t xml:space="preserve">2000. </w:t>
      </w:r>
      <w:r w:rsidR="00B11476">
        <w:rPr>
          <w:rFonts w:ascii="Arial" w:hAnsi="Arial" w:cs="Arial"/>
          <w:sz w:val="24"/>
          <w:szCs w:val="24"/>
        </w:rPr>
        <w:t>Plnenie týchto požiadaviek (</w:t>
      </w:r>
      <w:proofErr w:type="spellStart"/>
      <w:r w:rsidR="00B11476">
        <w:rPr>
          <w:rFonts w:ascii="Arial" w:hAnsi="Arial" w:cs="Arial"/>
          <w:sz w:val="24"/>
          <w:szCs w:val="24"/>
        </w:rPr>
        <w:t>kondicionalít</w:t>
      </w:r>
      <w:proofErr w:type="spellEnd"/>
      <w:r w:rsidR="00B11476">
        <w:rPr>
          <w:rFonts w:ascii="Arial" w:hAnsi="Arial" w:cs="Arial"/>
          <w:sz w:val="24"/>
          <w:szCs w:val="24"/>
        </w:rPr>
        <w:t xml:space="preserve">) bude podmienkou pre získanie priamych platieb v I. pilieri. </w:t>
      </w:r>
      <w:r w:rsidR="00E8188F">
        <w:rPr>
          <w:rFonts w:ascii="Arial" w:hAnsi="Arial" w:cs="Arial"/>
          <w:sz w:val="24"/>
          <w:szCs w:val="24"/>
        </w:rPr>
        <w:t>Členské štáty však v budúcom období môžu reagovať flexibilnejšie a zohľadniť špecifické vlastnosti krajiny, dokonca i regiónov. Podmienky, ktoré si nastaví však musia pomáhať k plneniu stanovených cieľov</w:t>
      </w:r>
      <w:r w:rsidR="000F0161">
        <w:rPr>
          <w:rFonts w:ascii="Arial" w:hAnsi="Arial" w:cs="Arial"/>
          <w:sz w:val="24"/>
          <w:szCs w:val="24"/>
        </w:rPr>
        <w:t>. I</w:t>
      </w:r>
      <w:r w:rsidR="00755E99">
        <w:rPr>
          <w:rFonts w:ascii="Arial" w:hAnsi="Arial" w:cs="Arial"/>
          <w:sz w:val="24"/>
          <w:szCs w:val="24"/>
        </w:rPr>
        <w:t>ch i</w:t>
      </w:r>
      <w:r w:rsidR="000F0161">
        <w:rPr>
          <w:rFonts w:ascii="Arial" w:hAnsi="Arial" w:cs="Arial"/>
          <w:sz w:val="24"/>
          <w:szCs w:val="24"/>
        </w:rPr>
        <w:t>mplementácia</w:t>
      </w:r>
      <w:r w:rsidR="00755E99">
        <w:rPr>
          <w:rFonts w:ascii="Arial" w:hAnsi="Arial" w:cs="Arial"/>
          <w:sz w:val="24"/>
          <w:szCs w:val="24"/>
        </w:rPr>
        <w:t xml:space="preserve"> by mala zároveň zjednodušiť administratívnu záťaž na poľnohospodárov a prispieť k transparentnosti a porovnateľnosti medzi jednotlivými členskými krajinami.</w:t>
      </w:r>
    </w:p>
    <w:p w:rsidR="000F0161" w:rsidRDefault="000F0161" w:rsidP="00370DF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5E99">
        <w:rPr>
          <w:rFonts w:ascii="Arial" w:hAnsi="Arial" w:cs="Arial"/>
          <w:b/>
          <w:sz w:val="24"/>
          <w:szCs w:val="24"/>
        </w:rPr>
        <w:t>Eko</w:t>
      </w:r>
      <w:proofErr w:type="spellEnd"/>
      <w:r w:rsidRPr="00755E99">
        <w:rPr>
          <w:rFonts w:ascii="Arial" w:hAnsi="Arial" w:cs="Arial"/>
          <w:b/>
          <w:sz w:val="24"/>
          <w:szCs w:val="24"/>
        </w:rPr>
        <w:t>-schémy</w:t>
      </w:r>
      <w:r>
        <w:rPr>
          <w:rFonts w:ascii="Arial" w:hAnsi="Arial" w:cs="Arial"/>
          <w:sz w:val="24"/>
          <w:szCs w:val="24"/>
        </w:rPr>
        <w:t xml:space="preserve"> </w:t>
      </w:r>
      <w:r w:rsidR="00755E99">
        <w:rPr>
          <w:rFonts w:ascii="Arial" w:hAnsi="Arial" w:cs="Arial"/>
          <w:sz w:val="24"/>
          <w:szCs w:val="24"/>
        </w:rPr>
        <w:t xml:space="preserve">predstavujú druhú tehličku „Zelenej architektúry“ a sú akousi nadstavbou. V rámci I. piliera budú stopercentne financované zo zdrojov EÚ. Členské štáty majú na výber, či poľnohospodárom poskytnú prostriedky ako „prémiu“ za mimoriadne výdavky a ušlý príjem, alebo ako stimuly v podobe hektárovej platby pre rozšírené environmentálne požiadavky. </w:t>
      </w:r>
      <w:r w:rsidR="009F588E">
        <w:rPr>
          <w:rFonts w:ascii="Arial" w:hAnsi="Arial" w:cs="Arial"/>
          <w:sz w:val="24"/>
          <w:szCs w:val="24"/>
        </w:rPr>
        <w:t xml:space="preserve">Je teda možné ich flexibilne zacieliť na oblasti, ktoré v danom členskom štáte predstavujú určitý problém, či výzvu </w:t>
      </w:r>
      <w:r w:rsidR="0042586A">
        <w:rPr>
          <w:rFonts w:ascii="Arial" w:hAnsi="Arial" w:cs="Arial"/>
          <w:sz w:val="24"/>
          <w:szCs w:val="24"/>
        </w:rPr>
        <w:t xml:space="preserve">na zlepšenie (napr. emisie, rozšírený manažment na trvalých pasienkoch, vytvorenie a manažment znakov </w:t>
      </w:r>
      <w:proofErr w:type="spellStart"/>
      <w:r w:rsidR="0042586A">
        <w:rPr>
          <w:rFonts w:ascii="Arial" w:hAnsi="Arial" w:cs="Arial"/>
          <w:sz w:val="24"/>
          <w:szCs w:val="24"/>
        </w:rPr>
        <w:t>k</w:t>
      </w:r>
      <w:r w:rsidR="00900131">
        <w:rPr>
          <w:rFonts w:ascii="Arial" w:hAnsi="Arial" w:cs="Arial"/>
          <w:sz w:val="24"/>
          <w:szCs w:val="24"/>
        </w:rPr>
        <w:t>r</w:t>
      </w:r>
      <w:r w:rsidR="0042586A">
        <w:rPr>
          <w:rFonts w:ascii="Arial" w:hAnsi="Arial" w:cs="Arial"/>
          <w:sz w:val="24"/>
          <w:szCs w:val="24"/>
        </w:rPr>
        <w:t>ajinotvorby</w:t>
      </w:r>
      <w:proofErr w:type="spellEnd"/>
      <w:r w:rsidR="009F588E">
        <w:rPr>
          <w:rFonts w:ascii="Arial" w:hAnsi="Arial" w:cs="Arial"/>
          <w:sz w:val="24"/>
          <w:szCs w:val="24"/>
        </w:rPr>
        <w:t>, ekologické poľnohospodárstvo</w:t>
      </w:r>
      <w:r w:rsidR="00900131">
        <w:rPr>
          <w:rFonts w:ascii="Arial" w:hAnsi="Arial" w:cs="Arial"/>
          <w:sz w:val="24"/>
          <w:szCs w:val="24"/>
        </w:rPr>
        <w:t>,</w:t>
      </w:r>
      <w:r w:rsidR="0042586A">
        <w:rPr>
          <w:rFonts w:ascii="Arial" w:hAnsi="Arial" w:cs="Arial"/>
          <w:sz w:val="24"/>
          <w:szCs w:val="24"/>
        </w:rPr>
        <w:t xml:space="preserve"> apod.</w:t>
      </w:r>
      <w:r w:rsidR="009F588E">
        <w:rPr>
          <w:rFonts w:ascii="Arial" w:hAnsi="Arial" w:cs="Arial"/>
          <w:sz w:val="24"/>
          <w:szCs w:val="24"/>
        </w:rPr>
        <w:t>). Š</w:t>
      </w:r>
      <w:r w:rsidR="00755E99">
        <w:rPr>
          <w:rFonts w:ascii="Arial" w:hAnsi="Arial" w:cs="Arial"/>
          <w:sz w:val="24"/>
          <w:szCs w:val="24"/>
        </w:rPr>
        <w:t xml:space="preserve">tát musí </w:t>
      </w:r>
      <w:proofErr w:type="spellStart"/>
      <w:r w:rsidR="00755E99">
        <w:rPr>
          <w:rFonts w:ascii="Arial" w:hAnsi="Arial" w:cs="Arial"/>
          <w:sz w:val="24"/>
          <w:szCs w:val="24"/>
        </w:rPr>
        <w:t>eko</w:t>
      </w:r>
      <w:proofErr w:type="spellEnd"/>
      <w:r w:rsidR="00755E99">
        <w:rPr>
          <w:rFonts w:ascii="Arial" w:hAnsi="Arial" w:cs="Arial"/>
          <w:sz w:val="24"/>
          <w:szCs w:val="24"/>
        </w:rPr>
        <w:t>-schémy zaviesť povinne, no poľnohospodári sa môžu pre ich uplatnenie rozhodnúť dobrovoľne a</w:t>
      </w:r>
      <w:r w:rsidR="00DE102C">
        <w:rPr>
          <w:rFonts w:ascii="Arial" w:hAnsi="Arial" w:cs="Arial"/>
          <w:sz w:val="24"/>
          <w:szCs w:val="24"/>
        </w:rPr>
        <w:t xml:space="preserve"> zaviazať sa k ich plneniu </w:t>
      </w:r>
      <w:r w:rsidR="00755E99">
        <w:rPr>
          <w:rFonts w:ascii="Arial" w:hAnsi="Arial" w:cs="Arial"/>
          <w:sz w:val="24"/>
          <w:szCs w:val="24"/>
        </w:rPr>
        <w:t xml:space="preserve">vždy len na jeden rok. </w:t>
      </w:r>
      <w:r w:rsidR="009F588E">
        <w:rPr>
          <w:rFonts w:ascii="Arial" w:hAnsi="Arial" w:cs="Arial"/>
          <w:sz w:val="24"/>
          <w:szCs w:val="24"/>
        </w:rPr>
        <w:t xml:space="preserve">Nateraz je však vnímané ako problém to, že nie je stanovený žiadny minimálny limit pre tieto opatrenia, čo môže viesť k nízkym investíciám zo strany štátu. Preto je dôležité, aby </w:t>
      </w:r>
      <w:proofErr w:type="spellStart"/>
      <w:r w:rsidR="009F588E">
        <w:rPr>
          <w:rFonts w:ascii="Arial" w:hAnsi="Arial" w:cs="Arial"/>
          <w:sz w:val="24"/>
          <w:szCs w:val="24"/>
        </w:rPr>
        <w:t>eko</w:t>
      </w:r>
      <w:proofErr w:type="spellEnd"/>
      <w:r w:rsidR="009F588E">
        <w:rPr>
          <w:rFonts w:ascii="Arial" w:hAnsi="Arial" w:cs="Arial"/>
          <w:sz w:val="24"/>
          <w:szCs w:val="24"/>
        </w:rPr>
        <w:t>-schémy boli „dobre ušité“ na požiadavky daného štátu a kryté silným rozpočtom.</w:t>
      </w:r>
    </w:p>
    <w:p w:rsidR="005B5FD9" w:rsidRDefault="005B5FD9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Treťou súčasťou „Zelenej architektúry“ SPP sú </w:t>
      </w:r>
      <w:proofErr w:type="spellStart"/>
      <w:r w:rsidRPr="005B5FD9">
        <w:rPr>
          <w:rFonts w:ascii="Arial" w:hAnsi="Arial" w:cs="Arial"/>
          <w:b/>
          <w:sz w:val="24"/>
          <w:szCs w:val="24"/>
        </w:rPr>
        <w:t>agro</w:t>
      </w:r>
      <w:proofErr w:type="spellEnd"/>
      <w:r w:rsidRPr="005B5FD9">
        <w:rPr>
          <w:rFonts w:ascii="Arial" w:hAnsi="Arial" w:cs="Arial"/>
          <w:b/>
          <w:sz w:val="24"/>
          <w:szCs w:val="24"/>
        </w:rPr>
        <w:t>-environmentálne klimatické opatrenia</w:t>
      </w:r>
      <w:r>
        <w:rPr>
          <w:rFonts w:ascii="Arial" w:hAnsi="Arial" w:cs="Arial"/>
          <w:sz w:val="24"/>
          <w:szCs w:val="24"/>
        </w:rPr>
        <w:t xml:space="preserve"> („AEKO“) dobrovoľné v rámci II. piliera. AEKO môže nadväzovať na </w:t>
      </w:r>
      <w:proofErr w:type="spellStart"/>
      <w:r>
        <w:rPr>
          <w:rFonts w:ascii="Arial" w:hAnsi="Arial" w:cs="Arial"/>
          <w:sz w:val="24"/>
          <w:szCs w:val="24"/>
        </w:rPr>
        <w:t>eko</w:t>
      </w:r>
      <w:proofErr w:type="spellEnd"/>
      <w:r>
        <w:rPr>
          <w:rFonts w:ascii="Arial" w:hAnsi="Arial" w:cs="Arial"/>
          <w:sz w:val="24"/>
          <w:szCs w:val="24"/>
        </w:rPr>
        <w:t>-schémy v I. pilieri a poskytnúť poľnohospodárom bonusy za dobrovoľné prijatie náročnejších záväzkov</w:t>
      </w:r>
      <w:r w:rsidR="0096138F">
        <w:rPr>
          <w:rFonts w:ascii="Arial" w:hAnsi="Arial" w:cs="Arial"/>
          <w:sz w:val="24"/>
          <w:szCs w:val="24"/>
        </w:rPr>
        <w:t xml:space="preserve"> a dosiahnutie cieľov</w:t>
      </w:r>
      <w:r>
        <w:rPr>
          <w:rFonts w:ascii="Arial" w:hAnsi="Arial" w:cs="Arial"/>
          <w:sz w:val="24"/>
          <w:szCs w:val="24"/>
        </w:rPr>
        <w:t xml:space="preserve">. </w:t>
      </w:r>
      <w:r w:rsidR="00A04604">
        <w:rPr>
          <w:rFonts w:ascii="Arial" w:hAnsi="Arial" w:cs="Arial"/>
          <w:sz w:val="24"/>
          <w:szCs w:val="24"/>
        </w:rPr>
        <w:t xml:space="preserve">Členské štáty majú na výber zo širokého spektra opatrení zameraných najmä na efektívne využívanie prírodných zdrojov a ochranu ekosystémov. Okrem už známych platieb za prijatie </w:t>
      </w:r>
      <w:proofErr w:type="spellStart"/>
      <w:r w:rsidR="00A04604">
        <w:rPr>
          <w:rFonts w:ascii="Arial" w:hAnsi="Arial" w:cs="Arial"/>
          <w:sz w:val="24"/>
          <w:szCs w:val="24"/>
        </w:rPr>
        <w:t>agro</w:t>
      </w:r>
      <w:proofErr w:type="spellEnd"/>
      <w:r w:rsidR="00A04604">
        <w:rPr>
          <w:rFonts w:ascii="Arial" w:hAnsi="Arial" w:cs="Arial"/>
          <w:sz w:val="24"/>
          <w:szCs w:val="24"/>
        </w:rPr>
        <w:t xml:space="preserve">-environmentálnych a klimatických záväzkov, na kompenzáciu znevýhodnených prírodných a iných podmienok (ANC/LFA), či v rámci obmedzení v oblastiach Natura 2000 je tu mnoho ďalších možností. </w:t>
      </w:r>
      <w:r w:rsidR="005D4615">
        <w:rPr>
          <w:rFonts w:ascii="Arial" w:hAnsi="Arial" w:cs="Arial"/>
          <w:sz w:val="24"/>
          <w:szCs w:val="24"/>
        </w:rPr>
        <w:t>V rámci tzv</w:t>
      </w:r>
      <w:r w:rsidR="005D4615" w:rsidRPr="001F2380">
        <w:rPr>
          <w:rFonts w:ascii="Arial" w:hAnsi="Arial" w:cs="Arial"/>
          <w:b/>
          <w:sz w:val="24"/>
          <w:szCs w:val="24"/>
        </w:rPr>
        <w:t>. intervencií</w:t>
      </w:r>
      <w:r w:rsidR="005D4615">
        <w:rPr>
          <w:rFonts w:ascii="Arial" w:hAnsi="Arial" w:cs="Arial"/>
          <w:sz w:val="24"/>
          <w:szCs w:val="24"/>
        </w:rPr>
        <w:t xml:space="preserve"> si môžu krajiny vybrať, či budú pre svoje potreby podporia manažment rizík, </w:t>
      </w:r>
      <w:r w:rsidR="00FE5F86">
        <w:rPr>
          <w:rFonts w:ascii="Arial" w:hAnsi="Arial" w:cs="Arial"/>
          <w:sz w:val="24"/>
          <w:szCs w:val="24"/>
        </w:rPr>
        <w:t xml:space="preserve">farmársky </w:t>
      </w:r>
      <w:r w:rsidR="001F2380">
        <w:rPr>
          <w:rFonts w:ascii="Arial" w:hAnsi="Arial" w:cs="Arial"/>
          <w:sz w:val="24"/>
          <w:szCs w:val="24"/>
        </w:rPr>
        <w:t xml:space="preserve">poradenský </w:t>
      </w:r>
      <w:r w:rsidR="00FE5F86">
        <w:rPr>
          <w:rFonts w:ascii="Arial" w:hAnsi="Arial" w:cs="Arial"/>
          <w:sz w:val="24"/>
          <w:szCs w:val="24"/>
        </w:rPr>
        <w:t>systém,</w:t>
      </w:r>
      <w:r w:rsidR="0096138F">
        <w:rPr>
          <w:rFonts w:ascii="Arial" w:hAnsi="Arial" w:cs="Arial"/>
          <w:sz w:val="24"/>
          <w:szCs w:val="24"/>
        </w:rPr>
        <w:t xml:space="preserve"> </w:t>
      </w:r>
      <w:r w:rsidR="005D4615">
        <w:rPr>
          <w:rFonts w:ascii="Arial" w:hAnsi="Arial" w:cs="Arial"/>
          <w:sz w:val="24"/>
          <w:szCs w:val="24"/>
        </w:rPr>
        <w:t>systém poľnohospodárskych vedomostí a inovácie (</w:t>
      </w:r>
      <w:r w:rsidR="005D4615" w:rsidRPr="0096138F">
        <w:rPr>
          <w:rFonts w:ascii="Arial" w:hAnsi="Arial" w:cs="Arial"/>
          <w:i/>
          <w:sz w:val="24"/>
          <w:szCs w:val="24"/>
        </w:rPr>
        <w:t>tzv. „AKIS“</w:t>
      </w:r>
      <w:r w:rsidR="0096138F" w:rsidRPr="0096138F">
        <w:rPr>
          <w:rFonts w:ascii="Arial" w:hAnsi="Arial" w:cs="Arial"/>
          <w:i/>
          <w:sz w:val="24"/>
          <w:szCs w:val="24"/>
        </w:rPr>
        <w:t xml:space="preserve"> </w:t>
      </w:r>
      <w:r w:rsidR="00FE5F86">
        <w:rPr>
          <w:rFonts w:ascii="Arial" w:hAnsi="Arial" w:cs="Arial"/>
          <w:i/>
          <w:sz w:val="24"/>
          <w:szCs w:val="24"/>
        </w:rPr>
        <w:t xml:space="preserve">– komunikácia </w:t>
      </w:r>
      <w:r w:rsidR="0096138F" w:rsidRPr="0096138F">
        <w:rPr>
          <w:rFonts w:ascii="Arial" w:hAnsi="Arial" w:cs="Arial"/>
          <w:i/>
          <w:sz w:val="24"/>
          <w:szCs w:val="24"/>
        </w:rPr>
        <w:t>medzi vedcami, výskumníkmi a pracovníkmi na vidieku</w:t>
      </w:r>
      <w:r w:rsidR="005D4615">
        <w:rPr>
          <w:rFonts w:ascii="Arial" w:hAnsi="Arial" w:cs="Arial"/>
          <w:sz w:val="24"/>
          <w:szCs w:val="24"/>
        </w:rPr>
        <w:t xml:space="preserve">), synergie a spoluprácu, medzigeneračný prenos informácií, </w:t>
      </w:r>
      <w:r w:rsidR="001F2380">
        <w:rPr>
          <w:rFonts w:ascii="Arial" w:hAnsi="Arial" w:cs="Arial"/>
          <w:sz w:val="24"/>
          <w:szCs w:val="24"/>
        </w:rPr>
        <w:t xml:space="preserve">investície, </w:t>
      </w:r>
      <w:proofErr w:type="spellStart"/>
      <w:r w:rsidR="005D4615">
        <w:rPr>
          <w:rFonts w:ascii="Arial" w:hAnsi="Arial" w:cs="Arial"/>
          <w:sz w:val="24"/>
          <w:szCs w:val="24"/>
        </w:rPr>
        <w:t>start-upy</w:t>
      </w:r>
      <w:proofErr w:type="spellEnd"/>
      <w:r w:rsidR="005D4615">
        <w:rPr>
          <w:rFonts w:ascii="Arial" w:hAnsi="Arial" w:cs="Arial"/>
          <w:sz w:val="24"/>
          <w:szCs w:val="24"/>
        </w:rPr>
        <w:t xml:space="preserve"> (</w:t>
      </w:r>
      <w:r w:rsidR="005D4615" w:rsidRPr="005D4615">
        <w:rPr>
          <w:rFonts w:ascii="Arial" w:hAnsi="Arial" w:cs="Arial"/>
          <w:i/>
          <w:sz w:val="24"/>
          <w:szCs w:val="24"/>
        </w:rPr>
        <w:t>zakladacie projekty</w:t>
      </w:r>
      <w:r w:rsidR="005D4615">
        <w:rPr>
          <w:rFonts w:ascii="Arial" w:hAnsi="Arial" w:cs="Arial"/>
          <w:sz w:val="24"/>
          <w:szCs w:val="24"/>
        </w:rPr>
        <w:t>) pre mladých farmárov, digitalizáciu, atď.</w:t>
      </w:r>
    </w:p>
    <w:p w:rsidR="00552C93" w:rsidRDefault="00FE5F86" w:rsidP="00370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„Zelenú architektúru“ SPP po roku 2021 musia členské krajiny </w:t>
      </w:r>
      <w:r w:rsidR="00900131">
        <w:rPr>
          <w:rFonts w:ascii="Arial" w:hAnsi="Arial" w:cs="Arial"/>
          <w:sz w:val="24"/>
          <w:szCs w:val="24"/>
        </w:rPr>
        <w:t xml:space="preserve">vyčleniť </w:t>
      </w:r>
      <w:r w:rsidR="00900131" w:rsidRPr="008A1A06">
        <w:rPr>
          <w:rFonts w:ascii="Arial" w:hAnsi="Arial" w:cs="Arial"/>
          <w:b/>
          <w:sz w:val="24"/>
          <w:szCs w:val="24"/>
        </w:rPr>
        <w:t xml:space="preserve">aspoň 40% všetkých </w:t>
      </w:r>
      <w:r w:rsidR="0068701A" w:rsidRPr="008A1A06">
        <w:rPr>
          <w:rFonts w:ascii="Arial" w:hAnsi="Arial" w:cs="Arial"/>
          <w:b/>
          <w:sz w:val="24"/>
          <w:szCs w:val="24"/>
        </w:rPr>
        <w:t xml:space="preserve">finančných </w:t>
      </w:r>
      <w:r w:rsidR="00900131" w:rsidRPr="008A1A06">
        <w:rPr>
          <w:rFonts w:ascii="Arial" w:hAnsi="Arial" w:cs="Arial"/>
          <w:b/>
          <w:sz w:val="24"/>
          <w:szCs w:val="24"/>
        </w:rPr>
        <w:t>zdrojov</w:t>
      </w:r>
      <w:r w:rsidR="00900131">
        <w:rPr>
          <w:rFonts w:ascii="Arial" w:hAnsi="Arial" w:cs="Arial"/>
          <w:sz w:val="24"/>
          <w:szCs w:val="24"/>
        </w:rPr>
        <w:t>.</w:t>
      </w:r>
      <w:r w:rsidR="005B5FD9">
        <w:rPr>
          <w:rFonts w:ascii="Arial" w:hAnsi="Arial" w:cs="Arial"/>
          <w:sz w:val="24"/>
          <w:szCs w:val="24"/>
        </w:rPr>
        <w:t xml:space="preserve"> Pritom 30% zo zdrojov I. piliera musí byť povinne zacielené na rozšírené </w:t>
      </w:r>
      <w:proofErr w:type="spellStart"/>
      <w:r w:rsidR="005B5FD9">
        <w:rPr>
          <w:rFonts w:ascii="Arial" w:hAnsi="Arial" w:cs="Arial"/>
          <w:sz w:val="24"/>
          <w:szCs w:val="24"/>
        </w:rPr>
        <w:t>kondicionality</w:t>
      </w:r>
      <w:proofErr w:type="spellEnd"/>
      <w:r w:rsidR="005B5FD9">
        <w:rPr>
          <w:rFonts w:ascii="Arial" w:hAnsi="Arial" w:cs="Arial"/>
          <w:sz w:val="24"/>
          <w:szCs w:val="24"/>
        </w:rPr>
        <w:t>.</w:t>
      </w:r>
      <w:r w:rsidR="00900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Rovnako</w:t>
      </w:r>
      <w:r w:rsidR="0068701A">
        <w:rPr>
          <w:rFonts w:ascii="Arial" w:hAnsi="Arial" w:cs="Arial"/>
          <w:sz w:val="24"/>
          <w:szCs w:val="24"/>
        </w:rPr>
        <w:t xml:space="preserve"> 30% financií v rámci II. piliera (</w:t>
      </w:r>
      <w:r w:rsidR="0068701A" w:rsidRPr="0068701A">
        <w:rPr>
          <w:rFonts w:ascii="Arial" w:hAnsi="Arial" w:cs="Arial"/>
          <w:i/>
          <w:sz w:val="24"/>
          <w:szCs w:val="24"/>
        </w:rPr>
        <w:t xml:space="preserve">ktoré </w:t>
      </w:r>
      <w:r>
        <w:rPr>
          <w:rFonts w:ascii="Arial" w:hAnsi="Arial" w:cs="Arial"/>
          <w:i/>
          <w:sz w:val="24"/>
          <w:szCs w:val="24"/>
        </w:rPr>
        <w:t>však treba spolufinan</w:t>
      </w:r>
      <w:r w:rsidR="0068701A" w:rsidRPr="0068701A">
        <w:rPr>
          <w:rFonts w:ascii="Arial" w:hAnsi="Arial" w:cs="Arial"/>
          <w:i/>
          <w:sz w:val="24"/>
          <w:szCs w:val="24"/>
        </w:rPr>
        <w:t>covať zo štátneho rozpočtu</w:t>
      </w:r>
      <w:r>
        <w:rPr>
          <w:rFonts w:ascii="Arial" w:hAnsi="Arial" w:cs="Arial"/>
          <w:i/>
          <w:sz w:val="24"/>
          <w:szCs w:val="24"/>
        </w:rPr>
        <w:t>!</w:t>
      </w:r>
      <w:r w:rsidR="0068701A">
        <w:rPr>
          <w:rFonts w:ascii="Arial" w:hAnsi="Arial" w:cs="Arial"/>
          <w:sz w:val="24"/>
          <w:szCs w:val="24"/>
        </w:rPr>
        <w:t xml:space="preserve">) musí venovať na opatrenia, ktoré majú priamy vplyv na zmiernenie klimatických zmien a podporu životného prostredia. </w:t>
      </w:r>
      <w:r w:rsidR="005B5FD9">
        <w:rPr>
          <w:rFonts w:ascii="Arial" w:hAnsi="Arial" w:cs="Arial"/>
          <w:sz w:val="24"/>
          <w:szCs w:val="24"/>
        </w:rPr>
        <w:t>Štát musí využiť obidva piliere a priebežne monitorovať dosahovanie stanovených cieľov.</w:t>
      </w:r>
      <w:r w:rsidR="0068701A">
        <w:rPr>
          <w:rFonts w:ascii="Arial" w:hAnsi="Arial" w:cs="Arial"/>
          <w:sz w:val="24"/>
          <w:szCs w:val="24"/>
        </w:rPr>
        <w:t xml:space="preserve"> Môže sa však rozhodnúť, či na konkrétne opatrenia II. piliera presunie dodatočných max. 15% prostriedkov z I. piliera. Všetky tieto podrobnosti každý štát uvedie vo svojom „Národnom strategickom pláne“ na roky 2021-2027.</w:t>
      </w:r>
    </w:p>
    <w:p w:rsidR="00702CFB" w:rsidRDefault="00FE5F86" w:rsidP="00FE5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každom prípade by každý štát mal hľadať „</w:t>
      </w:r>
      <w:proofErr w:type="spellStart"/>
      <w:r>
        <w:rPr>
          <w:rFonts w:ascii="Arial" w:hAnsi="Arial" w:cs="Arial"/>
          <w:sz w:val="24"/>
          <w:szCs w:val="24"/>
        </w:rPr>
        <w:t>win-win</w:t>
      </w:r>
      <w:proofErr w:type="spellEnd"/>
      <w:r>
        <w:rPr>
          <w:rFonts w:ascii="Arial" w:hAnsi="Arial" w:cs="Arial"/>
          <w:sz w:val="24"/>
          <w:szCs w:val="24"/>
        </w:rPr>
        <w:t>“ riešenia, teda také, ktorými prispeje k ochrane stanoveným špecifickým cieľom v oblasti klímy a životného prostredia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 zároveň podporí domácich poľnohospodárov a podnikateľov. Svoju úlohu v tom má aj správne rozdelenie dostupných finančných prostriedkov. O </w:t>
      </w:r>
      <w:r w:rsidR="00DA2CA3">
        <w:rPr>
          <w:rFonts w:ascii="Arial" w:hAnsi="Arial" w:cs="Arial"/>
          <w:sz w:val="24"/>
          <w:szCs w:val="24"/>
        </w:rPr>
        <w:t>tom nabudúce...</w:t>
      </w:r>
      <w:r w:rsidR="00702CFB">
        <w:rPr>
          <w:rFonts w:ascii="Arial" w:hAnsi="Arial" w:cs="Arial"/>
          <w:sz w:val="24"/>
          <w:szCs w:val="24"/>
        </w:rPr>
        <w:t xml:space="preserve"> </w:t>
      </w:r>
      <w:r w:rsidR="00C6665E" w:rsidRPr="00C6665E">
        <w:rPr>
          <w:rFonts w:ascii="Arial" w:hAnsi="Arial" w:cs="Arial"/>
          <w:sz w:val="24"/>
          <w:szCs w:val="24"/>
        </w:rPr>
        <w:sym w:font="Wingdings" w:char="F04A"/>
      </w:r>
    </w:p>
    <w:p w:rsidR="00702CFB" w:rsidRPr="006B4B90" w:rsidRDefault="00702CFB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690" w:rsidRDefault="00725690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lastRenderedPageBreak/>
        <w:t>Zelená architektúra budúcej SPP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Finančný rámec pre EÚ a SR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Hlavné priame podpory I. piliera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3C501D">
        <w:rPr>
          <w:rFonts w:ascii="Arial" w:hAnsi="Arial" w:cs="Arial"/>
          <w:i/>
          <w:sz w:val="24"/>
          <w:szCs w:val="24"/>
        </w:rPr>
        <w:t>pestovateľov obilnín, 12</w:t>
      </w:r>
      <w:r>
        <w:rPr>
          <w:rFonts w:ascii="Arial" w:hAnsi="Arial" w:cs="Arial"/>
          <w:i/>
          <w:sz w:val="24"/>
          <w:szCs w:val="24"/>
        </w:rPr>
        <w:t>.11.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Privítame, ak nám poskytnete svoj názor a návrhy pre zlepšenie v rámci Spoločnej poľnohospodárskej politiky (prosím, píšte slušne a vecne). Ďakujeme!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2252A"/>
    <w:rsid w:val="00094A98"/>
    <w:rsid w:val="000F0161"/>
    <w:rsid w:val="000F47FC"/>
    <w:rsid w:val="000F6729"/>
    <w:rsid w:val="00120876"/>
    <w:rsid w:val="0019318E"/>
    <w:rsid w:val="001A23D9"/>
    <w:rsid w:val="001B44BB"/>
    <w:rsid w:val="001F2380"/>
    <w:rsid w:val="00263D8F"/>
    <w:rsid w:val="002B62F0"/>
    <w:rsid w:val="002C5739"/>
    <w:rsid w:val="002E4D9C"/>
    <w:rsid w:val="002F5655"/>
    <w:rsid w:val="00331676"/>
    <w:rsid w:val="00344B7C"/>
    <w:rsid w:val="0034552F"/>
    <w:rsid w:val="00356EDF"/>
    <w:rsid w:val="00370DFB"/>
    <w:rsid w:val="00384FC9"/>
    <w:rsid w:val="003C501D"/>
    <w:rsid w:val="003D30AB"/>
    <w:rsid w:val="003F17CB"/>
    <w:rsid w:val="00410171"/>
    <w:rsid w:val="0042586A"/>
    <w:rsid w:val="004A5E6A"/>
    <w:rsid w:val="004C0166"/>
    <w:rsid w:val="004C6E85"/>
    <w:rsid w:val="00552C93"/>
    <w:rsid w:val="00595BEF"/>
    <w:rsid w:val="005A4220"/>
    <w:rsid w:val="005B5FD9"/>
    <w:rsid w:val="005D3EB0"/>
    <w:rsid w:val="005D4615"/>
    <w:rsid w:val="0068701A"/>
    <w:rsid w:val="00694213"/>
    <w:rsid w:val="006B4B90"/>
    <w:rsid w:val="006B598A"/>
    <w:rsid w:val="006F3BFA"/>
    <w:rsid w:val="006F7A59"/>
    <w:rsid w:val="00702CFB"/>
    <w:rsid w:val="00725690"/>
    <w:rsid w:val="00732AA0"/>
    <w:rsid w:val="00755E99"/>
    <w:rsid w:val="00783DAA"/>
    <w:rsid w:val="007A4076"/>
    <w:rsid w:val="007D40B2"/>
    <w:rsid w:val="0089319B"/>
    <w:rsid w:val="008A1A06"/>
    <w:rsid w:val="008A70A0"/>
    <w:rsid w:val="008C54EF"/>
    <w:rsid w:val="00900131"/>
    <w:rsid w:val="0091648C"/>
    <w:rsid w:val="0092397C"/>
    <w:rsid w:val="00956D47"/>
    <w:rsid w:val="0096138F"/>
    <w:rsid w:val="00972CC6"/>
    <w:rsid w:val="009774EF"/>
    <w:rsid w:val="00990C3A"/>
    <w:rsid w:val="009A3BA8"/>
    <w:rsid w:val="009F588E"/>
    <w:rsid w:val="00A04604"/>
    <w:rsid w:val="00A20926"/>
    <w:rsid w:val="00A36C42"/>
    <w:rsid w:val="00A84900"/>
    <w:rsid w:val="00AD2669"/>
    <w:rsid w:val="00B11476"/>
    <w:rsid w:val="00B23E06"/>
    <w:rsid w:val="00B3388D"/>
    <w:rsid w:val="00B44B79"/>
    <w:rsid w:val="00B46662"/>
    <w:rsid w:val="00B67A35"/>
    <w:rsid w:val="00B9725F"/>
    <w:rsid w:val="00BD1FAA"/>
    <w:rsid w:val="00C6665E"/>
    <w:rsid w:val="00CB427B"/>
    <w:rsid w:val="00CB6A2D"/>
    <w:rsid w:val="00CC4BBD"/>
    <w:rsid w:val="00D12AE3"/>
    <w:rsid w:val="00D2703E"/>
    <w:rsid w:val="00D90158"/>
    <w:rsid w:val="00DA2CA3"/>
    <w:rsid w:val="00DE102C"/>
    <w:rsid w:val="00E01F29"/>
    <w:rsid w:val="00E0437D"/>
    <w:rsid w:val="00E05B88"/>
    <w:rsid w:val="00E46B38"/>
    <w:rsid w:val="00E8188F"/>
    <w:rsid w:val="00E94752"/>
    <w:rsid w:val="00EF3FD9"/>
    <w:rsid w:val="00F263DE"/>
    <w:rsid w:val="00F36C83"/>
    <w:rsid w:val="00F36DE8"/>
    <w:rsid w:val="00F45615"/>
    <w:rsid w:val="00F54CDC"/>
    <w:rsid w:val="00F67237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21</cp:revision>
  <dcterms:created xsi:type="dcterms:W3CDTF">2019-11-12T11:01:00Z</dcterms:created>
  <dcterms:modified xsi:type="dcterms:W3CDTF">2019-11-12T19:28:00Z</dcterms:modified>
</cp:coreProperties>
</file>